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24A" w:rsidRDefault="00D7724A" w:rsidP="00D7724A">
      <w:pPr>
        <w:jc w:val="center"/>
        <w:rPr>
          <w:rFonts w:ascii="Arial" w:hAnsi="Arial" w:cs="Arial"/>
          <w:b/>
          <w:color w:val="0070C0"/>
          <w:sz w:val="36"/>
          <w:szCs w:val="36"/>
          <w:u w:val="single"/>
        </w:rPr>
      </w:pPr>
      <w:r>
        <w:rPr>
          <w:rFonts w:ascii="Arial" w:hAnsi="Arial" w:cs="Arial"/>
          <w:b/>
          <w:color w:val="0070C0"/>
          <w:sz w:val="36"/>
          <w:szCs w:val="36"/>
          <w:u w:val="single"/>
        </w:rPr>
        <w:t>Sbírka právních předpisů územních samosprávných celků a některých správních úřadů</w:t>
      </w:r>
    </w:p>
    <w:p w:rsidR="00D7724A" w:rsidRPr="002851CE" w:rsidRDefault="00D7724A" w:rsidP="00D7724A">
      <w:pPr>
        <w:jc w:val="center"/>
        <w:rPr>
          <w:rFonts w:ascii="Arial" w:hAnsi="Arial" w:cs="Arial"/>
          <w:b/>
          <w:color w:val="0070C0"/>
          <w:sz w:val="36"/>
          <w:szCs w:val="36"/>
        </w:rPr>
      </w:pPr>
      <w:r w:rsidRPr="002851CE">
        <w:rPr>
          <w:rFonts w:ascii="Arial" w:hAnsi="Arial" w:cs="Arial"/>
          <w:b/>
          <w:color w:val="0070C0"/>
          <w:sz w:val="36"/>
          <w:szCs w:val="36"/>
        </w:rPr>
        <w:t>–</w:t>
      </w:r>
    </w:p>
    <w:p w:rsidR="00D7724A" w:rsidRDefault="00D7724A" w:rsidP="00D7724A">
      <w:pPr>
        <w:jc w:val="center"/>
        <w:rPr>
          <w:rFonts w:ascii="Arial" w:hAnsi="Arial" w:cs="Arial"/>
          <w:b/>
          <w:color w:val="0070C0"/>
          <w:sz w:val="36"/>
          <w:szCs w:val="36"/>
          <w:u w:val="single"/>
        </w:rPr>
      </w:pPr>
      <w:r>
        <w:rPr>
          <w:rFonts w:ascii="Arial" w:hAnsi="Arial" w:cs="Arial"/>
          <w:b/>
          <w:color w:val="0070C0"/>
          <w:sz w:val="36"/>
          <w:szCs w:val="36"/>
          <w:u w:val="single"/>
        </w:rPr>
        <w:t xml:space="preserve">Nejčastější </w:t>
      </w:r>
      <w:r w:rsidRPr="00D41744">
        <w:rPr>
          <w:rFonts w:ascii="Arial" w:hAnsi="Arial" w:cs="Arial"/>
          <w:b/>
          <w:color w:val="0070C0"/>
          <w:sz w:val="36"/>
          <w:szCs w:val="36"/>
          <w:u w:val="single"/>
        </w:rPr>
        <w:t>dotazy a odpovědi</w:t>
      </w:r>
    </w:p>
    <w:p w:rsidR="00D7724A" w:rsidRDefault="00D7724A" w:rsidP="00D7724A">
      <w:pPr>
        <w:jc w:val="center"/>
        <w:rPr>
          <w:rFonts w:ascii="Arial" w:hAnsi="Arial" w:cs="Arial"/>
          <w:b/>
          <w:color w:val="0070C0"/>
          <w:sz w:val="36"/>
          <w:szCs w:val="36"/>
          <w:u w:val="single"/>
        </w:rPr>
      </w:pPr>
    </w:p>
    <w:p w:rsidR="00D7724A" w:rsidRPr="00D41744" w:rsidRDefault="00D7724A" w:rsidP="00D7724A">
      <w:pPr>
        <w:jc w:val="center"/>
        <w:rPr>
          <w:rFonts w:ascii="Arial" w:hAnsi="Arial" w:cs="Arial"/>
          <w:b/>
          <w:color w:val="0070C0"/>
          <w:sz w:val="36"/>
          <w:szCs w:val="36"/>
          <w:u w:val="single"/>
        </w:rPr>
      </w:pPr>
    </w:p>
    <w:p w:rsidR="00D7724A" w:rsidRPr="00D41744" w:rsidRDefault="00D7724A" w:rsidP="00D7724A">
      <w:pPr>
        <w:rPr>
          <w:rFonts w:ascii="Arial" w:hAnsi="Arial" w:cs="Arial"/>
        </w:rPr>
      </w:pPr>
      <w:r w:rsidRPr="00D41744">
        <w:rPr>
          <w:rFonts w:ascii="Arial" w:hAnsi="Arial" w:cs="Arial"/>
        </w:rPr>
        <w:t>V souvislosti s</w:t>
      </w:r>
      <w:r>
        <w:rPr>
          <w:rFonts w:ascii="Arial" w:hAnsi="Arial" w:cs="Arial"/>
        </w:rPr>
        <w:t>e školením ke Sbírce  </w:t>
      </w:r>
      <w:r w:rsidRPr="002851CE">
        <w:rPr>
          <w:rFonts w:ascii="Arial" w:hAnsi="Arial" w:cs="Arial"/>
        </w:rPr>
        <w:t xml:space="preserve">právních předpisů územních samosprávných celků a některých správních úřadů </w:t>
      </w:r>
      <w:r>
        <w:rPr>
          <w:rFonts w:ascii="Arial" w:hAnsi="Arial" w:cs="Arial"/>
        </w:rPr>
        <w:t>(dále jen „Sbírka“) připravilo Ministerstvo vnitra přehled odpovědí na nejčastější otázky.</w:t>
      </w:r>
    </w:p>
    <w:p w:rsidR="00D7724A" w:rsidRDefault="00D7724A" w:rsidP="00D7724A">
      <w:pPr>
        <w:rPr>
          <w:rFonts w:ascii="Arial" w:hAnsi="Arial" w:cs="Arial"/>
        </w:rPr>
      </w:pPr>
    </w:p>
    <w:p w:rsidR="00D7724A" w:rsidRPr="002851CE" w:rsidRDefault="00D7724A" w:rsidP="00D7724A">
      <w:pPr>
        <w:rPr>
          <w:rFonts w:ascii="Arial" w:hAnsi="Arial" w:cs="Arial"/>
          <w:i/>
        </w:rPr>
      </w:pPr>
    </w:p>
    <w:p w:rsidR="00D7724A" w:rsidRPr="00636578" w:rsidRDefault="00D7724A" w:rsidP="00D7724A">
      <w:pPr>
        <w:pStyle w:val="Odstavecseseznamem"/>
        <w:numPr>
          <w:ilvl w:val="0"/>
          <w:numId w:val="43"/>
        </w:numPr>
        <w:spacing w:line="240" w:lineRule="auto"/>
        <w:rPr>
          <w:rFonts w:ascii="Arial" w:hAnsi="Arial" w:cs="Arial"/>
          <w:b/>
          <w:i/>
        </w:rPr>
      </w:pPr>
      <w:r w:rsidRPr="00636578">
        <w:rPr>
          <w:rFonts w:ascii="Arial" w:hAnsi="Arial" w:cs="Arial"/>
          <w:b/>
          <w:i/>
        </w:rPr>
        <w:t>Bude i nadále možné posílat M</w:t>
      </w:r>
      <w:r>
        <w:rPr>
          <w:rFonts w:ascii="Arial" w:hAnsi="Arial" w:cs="Arial"/>
          <w:b/>
          <w:i/>
        </w:rPr>
        <w:t>inisterstvu</w:t>
      </w:r>
      <w:r w:rsidRPr="00636578">
        <w:rPr>
          <w:rFonts w:ascii="Arial" w:hAnsi="Arial" w:cs="Arial"/>
          <w:b/>
          <w:i/>
        </w:rPr>
        <w:t xml:space="preserve"> vnitra návrhy obecně závazných vyhlášek před jejich schvalováním v orgánech </w:t>
      </w:r>
      <w:r>
        <w:rPr>
          <w:rFonts w:ascii="Arial" w:hAnsi="Arial" w:cs="Arial"/>
          <w:b/>
          <w:i/>
        </w:rPr>
        <w:t>obce</w:t>
      </w:r>
      <w:r w:rsidRPr="00636578">
        <w:rPr>
          <w:rFonts w:ascii="Arial" w:hAnsi="Arial" w:cs="Arial"/>
          <w:b/>
          <w:i/>
        </w:rPr>
        <w:t>?</w:t>
      </w:r>
    </w:p>
    <w:p w:rsidR="00D7724A" w:rsidRDefault="00D7724A" w:rsidP="00D7724A">
      <w:pPr>
        <w:rPr>
          <w:rFonts w:ascii="Arial" w:hAnsi="Arial" w:cs="Arial"/>
        </w:rPr>
      </w:pPr>
    </w:p>
    <w:p w:rsidR="00D7724A" w:rsidRDefault="00D7724A" w:rsidP="00D7724A">
      <w:pPr>
        <w:rPr>
          <w:rFonts w:ascii="Arial" w:hAnsi="Arial" w:cs="Arial"/>
        </w:rPr>
      </w:pPr>
      <w:r w:rsidRPr="001B78A0">
        <w:rPr>
          <w:rFonts w:ascii="Arial" w:hAnsi="Arial" w:cs="Arial"/>
        </w:rPr>
        <w:t>Ano,</w:t>
      </w:r>
      <w:r>
        <w:rPr>
          <w:rFonts w:ascii="Arial" w:hAnsi="Arial" w:cs="Arial"/>
          <w:b/>
        </w:rPr>
        <w:t xml:space="preserve"> </w:t>
      </w:r>
      <w:r w:rsidRPr="002851CE">
        <w:rPr>
          <w:rFonts w:ascii="Arial" w:hAnsi="Arial" w:cs="Arial"/>
        </w:rPr>
        <w:t>v oblasti metodické pomoci</w:t>
      </w:r>
      <w:r>
        <w:rPr>
          <w:rFonts w:ascii="Arial" w:hAnsi="Arial" w:cs="Arial"/>
          <w:b/>
        </w:rPr>
        <w:t xml:space="preserve"> </w:t>
      </w:r>
      <w:r w:rsidRPr="002851CE">
        <w:rPr>
          <w:rFonts w:ascii="Arial" w:hAnsi="Arial" w:cs="Arial"/>
        </w:rPr>
        <w:t xml:space="preserve">nedochází k žádné </w:t>
      </w:r>
      <w:r>
        <w:rPr>
          <w:rFonts w:ascii="Arial" w:hAnsi="Arial" w:cs="Arial"/>
        </w:rPr>
        <w:t>změně.</w:t>
      </w:r>
      <w:r w:rsidRPr="002851CE">
        <w:rPr>
          <w:rFonts w:ascii="Arial" w:hAnsi="Arial" w:cs="Arial"/>
        </w:rPr>
        <w:t xml:space="preserve"> </w:t>
      </w:r>
      <w:r>
        <w:rPr>
          <w:rFonts w:ascii="Arial" w:hAnsi="Arial" w:cs="Arial"/>
        </w:rPr>
        <w:t>Obec bude mít i nadále možnost zaslat Ministerstvu vnitra k předběžnému posouzení příslušné návrhy obecně závazných vyhlášek.</w:t>
      </w:r>
    </w:p>
    <w:p w:rsidR="00D7724A" w:rsidRDefault="00D7724A" w:rsidP="00D7724A">
      <w:pPr>
        <w:rPr>
          <w:rFonts w:ascii="Arial" w:hAnsi="Arial" w:cs="Arial"/>
        </w:rPr>
      </w:pPr>
    </w:p>
    <w:p w:rsidR="00D7724A" w:rsidRDefault="00D7724A" w:rsidP="00D7724A">
      <w:pPr>
        <w:rPr>
          <w:rFonts w:ascii="Arial" w:hAnsi="Arial" w:cs="Arial"/>
        </w:rPr>
      </w:pPr>
      <w:r>
        <w:rPr>
          <w:rFonts w:ascii="Arial" w:hAnsi="Arial" w:cs="Arial"/>
        </w:rPr>
        <w:t>Pro úplnost uvádíme, že k předběžnému posuzování zákonnosti návrhů obecně závazných vyhlášek nebude sloužit Sbírka; příslušný návrh vyhlášky k předběžnému posouzení obec (jako doposud) zašle přímo do datové schránky Ministerstva vnitra (nikoli do datové schránky Sbírky).</w:t>
      </w:r>
    </w:p>
    <w:p w:rsidR="00D7724A" w:rsidRDefault="00D7724A" w:rsidP="00D7724A">
      <w:pPr>
        <w:rPr>
          <w:rFonts w:ascii="Arial" w:hAnsi="Arial" w:cs="Arial"/>
        </w:rPr>
      </w:pPr>
    </w:p>
    <w:p w:rsidR="00D7724A" w:rsidRDefault="00D7724A" w:rsidP="00D7724A">
      <w:pPr>
        <w:rPr>
          <w:rFonts w:ascii="Arial" w:hAnsi="Arial" w:cs="Arial"/>
        </w:rPr>
      </w:pPr>
    </w:p>
    <w:p w:rsidR="00D7724A" w:rsidRPr="00636578" w:rsidRDefault="00D7724A" w:rsidP="00D7724A">
      <w:pPr>
        <w:pStyle w:val="Odstavecseseznamem"/>
        <w:numPr>
          <w:ilvl w:val="0"/>
          <w:numId w:val="43"/>
        </w:numPr>
        <w:spacing w:line="240" w:lineRule="auto"/>
        <w:rPr>
          <w:rFonts w:ascii="Arial" w:hAnsi="Arial" w:cs="Arial"/>
          <w:b/>
          <w:i/>
        </w:rPr>
      </w:pPr>
      <w:r w:rsidRPr="00636578">
        <w:rPr>
          <w:rFonts w:ascii="Arial" w:hAnsi="Arial" w:cs="Arial"/>
          <w:b/>
          <w:i/>
        </w:rPr>
        <w:t xml:space="preserve">Jak to bude s obecně závaznou vyhláškou, kterou zastupitelstvo </w:t>
      </w:r>
      <w:r>
        <w:rPr>
          <w:rFonts w:ascii="Arial" w:hAnsi="Arial" w:cs="Arial"/>
          <w:b/>
          <w:i/>
        </w:rPr>
        <w:t>obce schválí na konci roku 2021</w:t>
      </w:r>
      <w:r w:rsidRPr="00636578">
        <w:rPr>
          <w:rFonts w:ascii="Arial" w:hAnsi="Arial" w:cs="Arial"/>
          <w:b/>
          <w:i/>
        </w:rPr>
        <w:t xml:space="preserve"> s účinností od 1. </w:t>
      </w:r>
      <w:r>
        <w:rPr>
          <w:rFonts w:ascii="Arial" w:hAnsi="Arial" w:cs="Arial"/>
          <w:b/>
          <w:i/>
        </w:rPr>
        <w:t>2</w:t>
      </w:r>
      <w:r w:rsidRPr="00636578">
        <w:rPr>
          <w:rFonts w:ascii="Arial" w:hAnsi="Arial" w:cs="Arial"/>
          <w:b/>
          <w:i/>
        </w:rPr>
        <w:t xml:space="preserve">. 2022? Bude se </w:t>
      </w:r>
      <w:r>
        <w:rPr>
          <w:rFonts w:ascii="Arial" w:hAnsi="Arial" w:cs="Arial"/>
          <w:b/>
          <w:i/>
        </w:rPr>
        <w:t xml:space="preserve">už </w:t>
      </w:r>
      <w:r w:rsidRPr="00636578">
        <w:rPr>
          <w:rFonts w:ascii="Arial" w:hAnsi="Arial" w:cs="Arial"/>
          <w:b/>
          <w:i/>
        </w:rPr>
        <w:t xml:space="preserve">takováto </w:t>
      </w:r>
      <w:r>
        <w:rPr>
          <w:rFonts w:ascii="Arial" w:hAnsi="Arial" w:cs="Arial"/>
          <w:b/>
          <w:i/>
        </w:rPr>
        <w:t xml:space="preserve">obecně závazná </w:t>
      </w:r>
      <w:r w:rsidRPr="00636578">
        <w:rPr>
          <w:rFonts w:ascii="Arial" w:hAnsi="Arial" w:cs="Arial"/>
          <w:b/>
          <w:i/>
        </w:rPr>
        <w:t>vyhláška</w:t>
      </w:r>
      <w:r>
        <w:rPr>
          <w:rFonts w:ascii="Arial" w:hAnsi="Arial" w:cs="Arial"/>
          <w:b/>
          <w:i/>
        </w:rPr>
        <w:t xml:space="preserve"> </w:t>
      </w:r>
      <w:r w:rsidRPr="00636578">
        <w:rPr>
          <w:rFonts w:ascii="Arial" w:hAnsi="Arial" w:cs="Arial"/>
          <w:b/>
          <w:i/>
        </w:rPr>
        <w:t>vyhlašovat ve Sbírce?</w:t>
      </w:r>
    </w:p>
    <w:p w:rsidR="00D7724A" w:rsidRDefault="00D7724A" w:rsidP="00D7724A">
      <w:pPr>
        <w:pStyle w:val="Odstavecseseznamem"/>
        <w:rPr>
          <w:rFonts w:ascii="Arial" w:hAnsi="Arial" w:cs="Arial"/>
          <w:i/>
        </w:rPr>
      </w:pPr>
    </w:p>
    <w:p w:rsidR="00D7724A" w:rsidRDefault="00D7724A" w:rsidP="00D7724A">
      <w:pPr>
        <w:rPr>
          <w:rFonts w:ascii="Arial" w:hAnsi="Arial" w:cs="Arial"/>
        </w:rPr>
      </w:pPr>
      <w:r w:rsidRPr="001B78A0">
        <w:rPr>
          <w:rFonts w:ascii="Arial" w:hAnsi="Arial" w:cs="Arial"/>
        </w:rPr>
        <w:t>Obec bude při vyhlašování právních předpisů (bez ohledu na datum jejich účinnosti) postupovat podle dosavadní právní úpravy,</w:t>
      </w:r>
      <w:r>
        <w:rPr>
          <w:rFonts w:ascii="Arial" w:hAnsi="Arial" w:cs="Arial"/>
        </w:rPr>
        <w:t xml:space="preserve"> tj. v souladu s § 12 odst. 1 zákona o obcích</w:t>
      </w:r>
      <w:r>
        <w:rPr>
          <w:rStyle w:val="Znakapoznpodarou"/>
          <w:rFonts w:ascii="Arial" w:hAnsi="Arial" w:cs="Arial"/>
        </w:rPr>
        <w:footnoteReference w:id="1"/>
      </w:r>
      <w:r>
        <w:rPr>
          <w:rFonts w:ascii="Arial" w:hAnsi="Arial" w:cs="Arial"/>
        </w:rPr>
        <w:t xml:space="preserve"> vyhlásí obecně závaznou vyhlášku na své úřední desce; k vyvěšení obecně závazné vyhlášky na úřední desce však musí dojít do konce roku 2021. Obecně závazná vyhláška tak musí být vyvěšena na úřední desce nejpozději dne 31. 12. 2021. Pokud by obec přistoupila k vyhlášení obecně závazné vyhlášky až v roce 2022 (tj. od 1. 1. 2022), musí obecně závaznou vyhlášku již vyhlásit ve Sbírce.</w:t>
      </w:r>
    </w:p>
    <w:p w:rsidR="00D7724A" w:rsidRDefault="00D7724A" w:rsidP="00D7724A">
      <w:pPr>
        <w:rPr>
          <w:rFonts w:ascii="Arial" w:hAnsi="Arial" w:cs="Arial"/>
        </w:rPr>
      </w:pPr>
      <w:r w:rsidRPr="00636578">
        <w:rPr>
          <w:rFonts w:ascii="Arial" w:hAnsi="Arial" w:cs="Arial"/>
          <w:b/>
        </w:rPr>
        <w:lastRenderedPageBreak/>
        <w:t>Příklad 1</w:t>
      </w:r>
      <w:r>
        <w:rPr>
          <w:rFonts w:ascii="Arial" w:hAnsi="Arial" w:cs="Arial"/>
        </w:rPr>
        <w:t>: Zastupitelstvo obce na svém zasedání dne 27. 12. 2021 schválí obecně závaznou vyhlášku. Následně obec tuto obecně závaznou vyhlášku dne 29. 12. 2021 vyvěsí na své úřední desce; v tento den se tak právní předpis stává platnou součástí právního řádu České republiky (za podmínky, že obecně závazná vyhláška bude na úřední desce vyvěšena zákonem požadovaných 15 dnů).</w:t>
      </w:r>
    </w:p>
    <w:p w:rsidR="00D7724A" w:rsidRPr="002851CE" w:rsidRDefault="00D7724A" w:rsidP="00D7724A">
      <w:pPr>
        <w:rPr>
          <w:rFonts w:ascii="Arial" w:hAnsi="Arial" w:cs="Arial"/>
        </w:rPr>
      </w:pPr>
    </w:p>
    <w:p w:rsidR="00D7724A" w:rsidRDefault="00D7724A" w:rsidP="00D7724A">
      <w:pPr>
        <w:rPr>
          <w:rFonts w:ascii="Arial" w:hAnsi="Arial" w:cs="Arial"/>
        </w:rPr>
      </w:pPr>
      <w:r w:rsidRPr="00636578">
        <w:rPr>
          <w:rFonts w:ascii="Arial" w:hAnsi="Arial" w:cs="Arial"/>
          <w:b/>
        </w:rPr>
        <w:t xml:space="preserve">Příklad </w:t>
      </w:r>
      <w:r>
        <w:rPr>
          <w:rFonts w:ascii="Arial" w:hAnsi="Arial" w:cs="Arial"/>
          <w:b/>
        </w:rPr>
        <w:t>2</w:t>
      </w:r>
      <w:r>
        <w:rPr>
          <w:rFonts w:ascii="Arial" w:hAnsi="Arial" w:cs="Arial"/>
        </w:rPr>
        <w:t>: Zastupitelstvo obce na svém zasedání dne 27. 12. 2021 schválí obecně závaznou vyhlášku, ale do konce roku 2021 už tuto obecně závaznou vyhlášku nevyvěsí na své úřední desce. Obec se rozhodne obecně závaznou vyhlášku vyhlásit až 2. 1. 2022; v takovém případě už musí být obecně závazná vyhláška řádně vyhlášena ve Sbírce.</w:t>
      </w:r>
    </w:p>
    <w:p w:rsidR="00D7724A" w:rsidRDefault="00D7724A" w:rsidP="00D7724A">
      <w:pPr>
        <w:rPr>
          <w:rFonts w:ascii="Arial" w:hAnsi="Arial" w:cs="Arial"/>
        </w:rPr>
      </w:pPr>
    </w:p>
    <w:p w:rsidR="00D7724A" w:rsidRDefault="00D7724A" w:rsidP="00D7724A">
      <w:pPr>
        <w:rPr>
          <w:rFonts w:ascii="Arial" w:hAnsi="Arial" w:cs="Arial"/>
        </w:rPr>
      </w:pPr>
    </w:p>
    <w:p w:rsidR="00D7724A" w:rsidRDefault="00D7724A" w:rsidP="00D7724A">
      <w:pPr>
        <w:pStyle w:val="Odstavecseseznamem"/>
        <w:numPr>
          <w:ilvl w:val="0"/>
          <w:numId w:val="43"/>
        </w:numPr>
        <w:spacing w:line="240" w:lineRule="auto"/>
        <w:rPr>
          <w:rFonts w:ascii="Arial" w:hAnsi="Arial" w:cs="Arial"/>
          <w:b/>
          <w:i/>
        </w:rPr>
      </w:pPr>
      <w:r>
        <w:rPr>
          <w:rFonts w:ascii="Arial" w:hAnsi="Arial" w:cs="Arial"/>
          <w:b/>
          <w:i/>
        </w:rPr>
        <w:t>Musí obec do Sbírky vložit i stávající „zrušovací“ právní předpisy, tj. předpisy, které pouze ruší jiné právní předpisy?</w:t>
      </w:r>
    </w:p>
    <w:p w:rsidR="00D7724A" w:rsidRDefault="00D7724A" w:rsidP="00D7724A">
      <w:pPr>
        <w:rPr>
          <w:rFonts w:ascii="Arial" w:hAnsi="Arial" w:cs="Arial"/>
          <w:b/>
          <w:i/>
        </w:rPr>
      </w:pPr>
    </w:p>
    <w:p w:rsidR="00D7724A" w:rsidRDefault="00D7724A" w:rsidP="00D7724A">
      <w:pPr>
        <w:rPr>
          <w:rFonts w:ascii="Arial" w:hAnsi="Arial" w:cs="Arial"/>
        </w:rPr>
      </w:pPr>
      <w:r w:rsidRPr="001B78A0">
        <w:rPr>
          <w:rFonts w:ascii="Arial" w:hAnsi="Arial" w:cs="Arial"/>
        </w:rPr>
        <w:t>Nemusí.</w:t>
      </w:r>
      <w:r>
        <w:rPr>
          <w:rFonts w:ascii="Arial" w:hAnsi="Arial" w:cs="Arial"/>
        </w:rPr>
        <w:t xml:space="preserve"> Na základě těchto „zrušovacích“ právních předpisů již došlo ke zrušení předmětných předpisů. Pozbytí platnosti „zrušovacích“ právních předpisů nemá žádných právních účinků.</w:t>
      </w:r>
    </w:p>
    <w:p w:rsidR="00D7724A" w:rsidRDefault="00D7724A" w:rsidP="00D7724A">
      <w:pPr>
        <w:rPr>
          <w:rFonts w:ascii="Arial" w:hAnsi="Arial" w:cs="Arial"/>
        </w:rPr>
      </w:pPr>
    </w:p>
    <w:p w:rsidR="00D7724A" w:rsidRDefault="00D7724A" w:rsidP="00D7724A">
      <w:pPr>
        <w:rPr>
          <w:rFonts w:ascii="Arial" w:hAnsi="Arial" w:cs="Arial"/>
        </w:rPr>
      </w:pPr>
      <w:r w:rsidRPr="001B78A0">
        <w:rPr>
          <w:rFonts w:ascii="Arial" w:hAnsi="Arial" w:cs="Arial"/>
          <w:b/>
        </w:rPr>
        <w:t>Příklad:</w:t>
      </w:r>
      <w:r>
        <w:rPr>
          <w:rFonts w:ascii="Arial" w:hAnsi="Arial" w:cs="Arial"/>
        </w:rPr>
        <w:t xml:space="preserve"> Obec v roce 2021 vydala obecně závaznou vyhlášku č. 1/2021, kterou zrušila obecně závaznou vyhlášku č. 5/2017. Obecně závaznou vyhlášku č. 1/2021 obec následně nevložila do Sbírky a po uplynutí tříletého přechodného období tato obecně závazná vyhláška pozbyde platnosti. Tato skutečnost však nemá žádný vliv na obecně závaznou vyhlášku č. 5/2017; obecně závazná vyhláška č. 5/2017 tzv. „neobživne“ a i nadále se bude jednat o zrušený právní předpis.</w:t>
      </w:r>
    </w:p>
    <w:p w:rsidR="00D7724A" w:rsidRDefault="00D7724A" w:rsidP="00D7724A">
      <w:pPr>
        <w:rPr>
          <w:rFonts w:ascii="Arial" w:hAnsi="Arial" w:cs="Arial"/>
        </w:rPr>
      </w:pPr>
    </w:p>
    <w:p w:rsidR="00D7724A" w:rsidRDefault="00D7724A" w:rsidP="00D7724A">
      <w:pPr>
        <w:rPr>
          <w:rFonts w:ascii="Arial" w:hAnsi="Arial" w:cs="Arial"/>
        </w:rPr>
      </w:pPr>
    </w:p>
    <w:p w:rsidR="00D7724A" w:rsidRDefault="00D7724A" w:rsidP="00D7724A">
      <w:pPr>
        <w:pStyle w:val="Odstavecseseznamem"/>
        <w:numPr>
          <w:ilvl w:val="0"/>
          <w:numId w:val="43"/>
        </w:numPr>
        <w:spacing w:line="240" w:lineRule="auto"/>
        <w:rPr>
          <w:rFonts w:ascii="Arial" w:hAnsi="Arial" w:cs="Arial"/>
          <w:b/>
          <w:i/>
        </w:rPr>
      </w:pPr>
      <w:r>
        <w:rPr>
          <w:rFonts w:ascii="Arial" w:hAnsi="Arial" w:cs="Arial"/>
          <w:b/>
          <w:i/>
        </w:rPr>
        <w:t>Musí obec do Sbírky vložit obecně závaznou vyhlášku, kterou byl v obci vydán územní plán?</w:t>
      </w:r>
    </w:p>
    <w:p w:rsidR="00D7724A" w:rsidRDefault="00D7724A" w:rsidP="00D7724A">
      <w:pPr>
        <w:rPr>
          <w:rFonts w:ascii="Arial" w:hAnsi="Arial" w:cs="Arial"/>
          <w:b/>
          <w:i/>
        </w:rPr>
      </w:pPr>
    </w:p>
    <w:p w:rsidR="00D7724A" w:rsidRDefault="00D7724A" w:rsidP="00D7724A">
      <w:pPr>
        <w:rPr>
          <w:rFonts w:ascii="Arial" w:hAnsi="Arial" w:cs="Arial"/>
        </w:rPr>
      </w:pPr>
      <w:r>
        <w:rPr>
          <w:rFonts w:ascii="Arial" w:hAnsi="Arial" w:cs="Arial"/>
        </w:rPr>
        <w:t>Tyto předpisy se do Sbírky nevkládají, neboť jsou v souladu se stavebním zákonem považovány za opatření obecné povahy.</w:t>
      </w:r>
      <w:r w:rsidRPr="00792423">
        <w:t xml:space="preserve"> </w:t>
      </w:r>
      <w:r>
        <w:rPr>
          <w:rFonts w:ascii="Arial" w:hAnsi="Arial" w:cs="Arial"/>
        </w:rPr>
        <w:t>Dle § 9</w:t>
      </w:r>
      <w:r w:rsidRPr="00792423">
        <w:rPr>
          <w:rFonts w:ascii="Arial" w:hAnsi="Arial" w:cs="Arial"/>
        </w:rPr>
        <w:t xml:space="preserve"> </w:t>
      </w:r>
      <w:r>
        <w:rPr>
          <w:rFonts w:ascii="Arial" w:hAnsi="Arial" w:cs="Arial"/>
        </w:rPr>
        <w:t xml:space="preserve">odst. 5 </w:t>
      </w:r>
      <w:r w:rsidRPr="00792423">
        <w:rPr>
          <w:rFonts w:ascii="Arial" w:hAnsi="Arial" w:cs="Arial"/>
        </w:rPr>
        <w:t>zákona o Sbírce právních předpisů a územních samosprávných celků a některých správních úřadů</w:t>
      </w:r>
      <w:r>
        <w:rPr>
          <w:rFonts w:ascii="Arial" w:hAnsi="Arial" w:cs="Arial"/>
        </w:rPr>
        <w:t xml:space="preserve"> o</w:t>
      </w:r>
      <w:r w:rsidRPr="00792423">
        <w:rPr>
          <w:rFonts w:ascii="Arial" w:hAnsi="Arial" w:cs="Arial"/>
        </w:rPr>
        <w:t>becně závazné vyhlášky, jimiž byla vymezena závazná část územně plánovací dokumentace sídelního útvaru nebo zóny, územního plánu obce nebo regulačního plán</w:t>
      </w:r>
      <w:r>
        <w:rPr>
          <w:rFonts w:ascii="Arial" w:hAnsi="Arial" w:cs="Arial"/>
        </w:rPr>
        <w:t xml:space="preserve">u, se </w:t>
      </w:r>
      <w:r w:rsidRPr="00792423">
        <w:rPr>
          <w:rFonts w:ascii="Arial" w:hAnsi="Arial" w:cs="Arial"/>
        </w:rPr>
        <w:t>ve Sbírce nezveřejňují.</w:t>
      </w:r>
    </w:p>
    <w:p w:rsidR="00D7724A" w:rsidRDefault="00D7724A" w:rsidP="00D7724A">
      <w:pPr>
        <w:rPr>
          <w:rFonts w:ascii="Arial" w:hAnsi="Arial" w:cs="Arial"/>
        </w:rPr>
      </w:pPr>
    </w:p>
    <w:p w:rsidR="00D7724A" w:rsidRDefault="00D7724A" w:rsidP="00D7724A">
      <w:pPr>
        <w:rPr>
          <w:rFonts w:ascii="Arial" w:hAnsi="Arial" w:cs="Arial"/>
        </w:rPr>
      </w:pPr>
    </w:p>
    <w:p w:rsidR="00D7724A" w:rsidRPr="00354331" w:rsidRDefault="00D7724A" w:rsidP="00D7724A">
      <w:pPr>
        <w:pStyle w:val="Odstavecseseznamem"/>
        <w:numPr>
          <w:ilvl w:val="0"/>
          <w:numId w:val="43"/>
        </w:numPr>
        <w:spacing w:line="240" w:lineRule="auto"/>
        <w:rPr>
          <w:rFonts w:ascii="Arial" w:hAnsi="Arial" w:cs="Arial"/>
          <w:b/>
          <w:i/>
        </w:rPr>
      </w:pPr>
      <w:r w:rsidRPr="00354331">
        <w:rPr>
          <w:rFonts w:ascii="Arial" w:hAnsi="Arial" w:cs="Arial"/>
          <w:b/>
          <w:i/>
        </w:rPr>
        <w:t xml:space="preserve">V současné době mají obce povinnost zaslat obecně závaznou vyhlášku, </w:t>
      </w:r>
      <w:r>
        <w:rPr>
          <w:rFonts w:ascii="Arial" w:hAnsi="Arial" w:cs="Arial"/>
          <w:b/>
          <w:i/>
        </w:rPr>
        <w:t xml:space="preserve"> </w:t>
      </w:r>
      <w:r w:rsidRPr="00354331">
        <w:rPr>
          <w:rFonts w:ascii="Arial" w:hAnsi="Arial" w:cs="Arial"/>
          <w:b/>
          <w:i/>
        </w:rPr>
        <w:t xml:space="preserve">kterou se stanoví ceny stavebních pozemků v cenové mapě, a obecně závaznou vyhlášku o regulaci hazardních her též Ministerstvu financí. V případě obecně závazné vyhlášky, kterou se stanoví koeficienty pro výpočet daně z nemovitých věcí (případně kterou se zavádí osvobození od </w:t>
      </w:r>
      <w:r w:rsidRPr="00354331">
        <w:rPr>
          <w:rFonts w:ascii="Arial" w:hAnsi="Arial" w:cs="Arial"/>
          <w:b/>
          <w:i/>
        </w:rPr>
        <w:lastRenderedPageBreak/>
        <w:t>této daně), je povinnost zaslat ji správci daně. Budou muset obce i nadále příslušné obecně závazné vyhlášky zasílat těmto orgánům veřejné moci?</w:t>
      </w:r>
    </w:p>
    <w:p w:rsidR="00D7724A" w:rsidRPr="00354331" w:rsidRDefault="00D7724A" w:rsidP="00D7724A">
      <w:pPr>
        <w:rPr>
          <w:rFonts w:ascii="Arial" w:hAnsi="Arial" w:cs="Arial"/>
          <w:b/>
          <w:i/>
        </w:rPr>
      </w:pPr>
    </w:p>
    <w:p w:rsidR="00D7724A" w:rsidRPr="00354331" w:rsidRDefault="00D7724A" w:rsidP="00D7724A">
      <w:pPr>
        <w:rPr>
          <w:rFonts w:ascii="Arial" w:hAnsi="Arial" w:cs="Arial"/>
          <w:b/>
        </w:rPr>
      </w:pPr>
      <w:r w:rsidRPr="00354331">
        <w:rPr>
          <w:rFonts w:ascii="Arial" w:hAnsi="Arial" w:cs="Arial"/>
        </w:rPr>
        <w:t xml:space="preserve">V případě obecně závazné vyhlášky, kterou se stanoví koeficienty pro výpočet daně z nemovitých věcí (případně kterou se zavádí osvobození od této daně), bude obec i nadále povinna zaslat ji v jednom vyhotovení příslušnému správci daně, a to do pěti dnů ode dne nabytí její platnosti (vyhlášení ve Sbírce). V případě obecně závazné vyhlášky, kterou se stanoví ceny stavebních pozemků v cenové mapě, pak rovněž zůstává povinnost zaslat ji Ministerstvu financí, a to současně s jejím vyhlášením ve Sbírce. Tato skutečnost vychází z potřeby po určitou přechodnou dobu (tj. do konce roku 2023) zachovat duplicitní zasílání obecně závazných vyhlášek. </w:t>
      </w:r>
    </w:p>
    <w:p w:rsidR="00D7724A" w:rsidRPr="00354331" w:rsidRDefault="00D7724A" w:rsidP="00D7724A">
      <w:pPr>
        <w:rPr>
          <w:rFonts w:ascii="Arial" w:hAnsi="Arial" w:cs="Arial"/>
          <w:b/>
        </w:rPr>
      </w:pPr>
    </w:p>
    <w:p w:rsidR="00D7724A" w:rsidRDefault="00D7724A" w:rsidP="00D7724A">
      <w:pPr>
        <w:rPr>
          <w:rFonts w:ascii="Arial" w:hAnsi="Arial" w:cs="Arial"/>
        </w:rPr>
      </w:pPr>
      <w:r>
        <w:rPr>
          <w:rFonts w:ascii="Arial" w:hAnsi="Arial" w:cs="Arial"/>
        </w:rPr>
        <w:t>V případě</w:t>
      </w:r>
      <w:r w:rsidRPr="00354331">
        <w:rPr>
          <w:rFonts w:ascii="Arial" w:hAnsi="Arial" w:cs="Arial"/>
        </w:rPr>
        <w:t xml:space="preserve"> </w:t>
      </w:r>
      <w:r>
        <w:rPr>
          <w:rFonts w:ascii="Arial" w:hAnsi="Arial" w:cs="Arial"/>
        </w:rPr>
        <w:t>obecně závazné</w:t>
      </w:r>
      <w:r w:rsidRPr="00354331">
        <w:rPr>
          <w:rFonts w:ascii="Arial" w:hAnsi="Arial" w:cs="Arial"/>
        </w:rPr>
        <w:t xml:space="preserve"> vyhlášk</w:t>
      </w:r>
      <w:r>
        <w:rPr>
          <w:rFonts w:ascii="Arial" w:hAnsi="Arial" w:cs="Arial"/>
        </w:rPr>
        <w:t>y o regulaci hazardu</w:t>
      </w:r>
      <w:r w:rsidRPr="00354331">
        <w:rPr>
          <w:rFonts w:ascii="Arial" w:hAnsi="Arial" w:cs="Arial"/>
        </w:rPr>
        <w:t xml:space="preserve"> </w:t>
      </w:r>
      <w:r>
        <w:rPr>
          <w:rFonts w:ascii="Arial" w:hAnsi="Arial" w:cs="Arial"/>
        </w:rPr>
        <w:t xml:space="preserve">bude </w:t>
      </w:r>
      <w:r w:rsidRPr="00354331">
        <w:rPr>
          <w:rFonts w:ascii="Arial" w:hAnsi="Arial" w:cs="Arial"/>
        </w:rPr>
        <w:t>postač</w:t>
      </w:r>
      <w:r>
        <w:rPr>
          <w:rFonts w:ascii="Arial" w:hAnsi="Arial" w:cs="Arial"/>
        </w:rPr>
        <w:t>ovat</w:t>
      </w:r>
      <w:r w:rsidRPr="00354331">
        <w:rPr>
          <w:rFonts w:ascii="Arial" w:hAnsi="Arial" w:cs="Arial"/>
        </w:rPr>
        <w:t xml:space="preserve"> </w:t>
      </w:r>
      <w:r>
        <w:rPr>
          <w:rFonts w:ascii="Arial" w:hAnsi="Arial" w:cs="Arial"/>
        </w:rPr>
        <w:t>její</w:t>
      </w:r>
      <w:r w:rsidRPr="00354331">
        <w:rPr>
          <w:rFonts w:ascii="Arial" w:hAnsi="Arial" w:cs="Arial"/>
        </w:rPr>
        <w:t xml:space="preserve"> vyhlášení ve Sbírce</w:t>
      </w:r>
      <w:r>
        <w:rPr>
          <w:rFonts w:ascii="Arial" w:hAnsi="Arial" w:cs="Arial"/>
        </w:rPr>
        <w:t>; povinnost zasílat ji Ministerstvu financí tak bude zrušena již od 1. 1. 2022.</w:t>
      </w:r>
    </w:p>
    <w:p w:rsidR="00D7724A" w:rsidRDefault="00D7724A" w:rsidP="00D7724A">
      <w:pPr>
        <w:rPr>
          <w:rFonts w:ascii="Arial" w:hAnsi="Arial" w:cs="Arial"/>
        </w:rPr>
      </w:pPr>
    </w:p>
    <w:p w:rsidR="00D7724A" w:rsidRPr="00BC23C4" w:rsidRDefault="00D7724A" w:rsidP="00D7724A">
      <w:pPr>
        <w:rPr>
          <w:rFonts w:ascii="Arial" w:hAnsi="Arial" w:cs="Arial"/>
        </w:rPr>
      </w:pPr>
    </w:p>
    <w:p w:rsidR="00D7724A" w:rsidRDefault="00D7724A" w:rsidP="00D7724A">
      <w:pPr>
        <w:pStyle w:val="Odstavecseseznamem"/>
        <w:numPr>
          <w:ilvl w:val="0"/>
          <w:numId w:val="43"/>
        </w:numPr>
        <w:spacing w:line="240" w:lineRule="auto"/>
        <w:rPr>
          <w:rFonts w:ascii="Arial" w:hAnsi="Arial" w:cs="Arial"/>
          <w:b/>
          <w:i/>
        </w:rPr>
      </w:pPr>
      <w:r>
        <w:rPr>
          <w:rFonts w:ascii="Arial" w:hAnsi="Arial" w:cs="Arial"/>
          <w:b/>
          <w:i/>
        </w:rPr>
        <w:t>Dnem vydání právního předpisu obce je den schválení v příslušném orgánu obce?</w:t>
      </w:r>
    </w:p>
    <w:p w:rsidR="00D7724A" w:rsidRDefault="00D7724A" w:rsidP="00D7724A">
      <w:pPr>
        <w:rPr>
          <w:rFonts w:ascii="Arial" w:hAnsi="Arial" w:cs="Arial"/>
          <w:b/>
          <w:i/>
        </w:rPr>
      </w:pPr>
    </w:p>
    <w:p w:rsidR="00D7724A" w:rsidRDefault="00D7724A" w:rsidP="00D7724A">
      <w:pPr>
        <w:rPr>
          <w:rFonts w:ascii="Arial" w:hAnsi="Arial" w:cs="Arial"/>
        </w:rPr>
      </w:pPr>
      <w:r w:rsidRPr="00457465">
        <w:rPr>
          <w:rFonts w:ascii="Arial" w:hAnsi="Arial" w:cs="Arial"/>
        </w:rPr>
        <w:t>Ano</w:t>
      </w:r>
      <w:r>
        <w:rPr>
          <w:rFonts w:ascii="Arial" w:hAnsi="Arial" w:cs="Arial"/>
        </w:rPr>
        <w:t>, obecně závazná vyhláška je schválena (tj. vydána) v okamžiku jejího schválení zastupitelstvem obce na jeho zasedání. V případě nařízení pak okamžikem schválení na jednání rady obce.</w:t>
      </w:r>
    </w:p>
    <w:p w:rsidR="00D7724A" w:rsidRDefault="00D7724A" w:rsidP="00D7724A">
      <w:pPr>
        <w:rPr>
          <w:rFonts w:ascii="Arial" w:hAnsi="Arial" w:cs="Arial"/>
        </w:rPr>
      </w:pPr>
    </w:p>
    <w:p w:rsidR="00D7724A" w:rsidRDefault="00D7724A" w:rsidP="00D7724A">
      <w:pPr>
        <w:rPr>
          <w:rFonts w:ascii="Arial" w:hAnsi="Arial" w:cs="Arial"/>
        </w:rPr>
      </w:pPr>
    </w:p>
    <w:p w:rsidR="00D7724A" w:rsidRDefault="00D7724A" w:rsidP="00D7724A">
      <w:pPr>
        <w:pStyle w:val="Odstavecseseznamem"/>
        <w:numPr>
          <w:ilvl w:val="0"/>
          <w:numId w:val="43"/>
        </w:numPr>
        <w:spacing w:line="240" w:lineRule="auto"/>
        <w:rPr>
          <w:rFonts w:ascii="Arial" w:hAnsi="Arial" w:cs="Arial"/>
          <w:b/>
          <w:i/>
        </w:rPr>
      </w:pPr>
      <w:r>
        <w:rPr>
          <w:rFonts w:ascii="Arial" w:hAnsi="Arial" w:cs="Arial"/>
          <w:b/>
          <w:i/>
        </w:rPr>
        <w:t>Bude muset být právní předpis při vkládání do Sbírky elektronicky podepsán?</w:t>
      </w:r>
    </w:p>
    <w:p w:rsidR="00D7724A" w:rsidRDefault="00D7724A" w:rsidP="00D7724A">
      <w:pPr>
        <w:rPr>
          <w:rFonts w:ascii="Arial" w:hAnsi="Arial" w:cs="Arial"/>
          <w:b/>
          <w:i/>
        </w:rPr>
      </w:pPr>
    </w:p>
    <w:p w:rsidR="00D7724A" w:rsidRPr="004A5E69" w:rsidRDefault="00D7724A" w:rsidP="00D7724A">
      <w:pPr>
        <w:rPr>
          <w:rFonts w:ascii="Arial" w:hAnsi="Arial" w:cs="Arial"/>
        </w:rPr>
      </w:pPr>
      <w:r w:rsidRPr="00457465">
        <w:rPr>
          <w:rFonts w:ascii="Arial" w:hAnsi="Arial" w:cs="Arial"/>
        </w:rPr>
        <w:t>Ne</w:t>
      </w:r>
      <w:r>
        <w:rPr>
          <w:rFonts w:ascii="Arial" w:hAnsi="Arial" w:cs="Arial"/>
        </w:rPr>
        <w:t>,</w:t>
      </w:r>
      <w:r w:rsidRPr="00457465">
        <w:rPr>
          <w:rFonts w:ascii="Arial" w:hAnsi="Arial" w:cs="Arial"/>
        </w:rPr>
        <w:t xml:space="preserve"> do</w:t>
      </w:r>
      <w:r>
        <w:rPr>
          <w:rFonts w:ascii="Arial" w:hAnsi="Arial" w:cs="Arial"/>
        </w:rPr>
        <w:t xml:space="preserve"> Sbírky se vkládá text právního předpis, v podpisové doložce lze tedy uvést jméno a příjmení starosty (místostarosty) s dodatkem „</w:t>
      </w:r>
      <w:r w:rsidRPr="006444F4">
        <w:rPr>
          <w:rFonts w:ascii="Arial" w:hAnsi="Arial" w:cs="Arial"/>
          <w:i/>
        </w:rPr>
        <w:t>v. r.</w:t>
      </w:r>
      <w:r>
        <w:rPr>
          <w:rFonts w:ascii="Arial" w:hAnsi="Arial" w:cs="Arial"/>
        </w:rPr>
        <w:t>“ – např. „</w:t>
      </w:r>
      <w:r w:rsidRPr="006444F4">
        <w:rPr>
          <w:rFonts w:ascii="Arial" w:hAnsi="Arial" w:cs="Arial"/>
          <w:i/>
        </w:rPr>
        <w:t>Jan Novák, v. r.</w:t>
      </w:r>
      <w:r>
        <w:rPr>
          <w:rFonts w:ascii="Arial" w:hAnsi="Arial" w:cs="Arial"/>
        </w:rPr>
        <w:t>“. Tímto však není nijak dotčena povinnost mít uložený originál právního předpisu (vč. podpisů) na obci (typicky v rámci spisové služby).</w:t>
      </w:r>
    </w:p>
    <w:p w:rsidR="00D7724A" w:rsidRPr="004A5E69" w:rsidRDefault="00D7724A" w:rsidP="00D7724A">
      <w:pPr>
        <w:rPr>
          <w:rFonts w:ascii="Arial" w:hAnsi="Arial" w:cs="Arial"/>
        </w:rPr>
      </w:pPr>
    </w:p>
    <w:p w:rsidR="00D7724A" w:rsidRDefault="00D7724A" w:rsidP="00D7724A">
      <w:pPr>
        <w:rPr>
          <w:rFonts w:ascii="Arial" w:hAnsi="Arial" w:cs="Arial"/>
          <w:b/>
          <w:i/>
        </w:rPr>
      </w:pPr>
    </w:p>
    <w:p w:rsidR="00D7724A" w:rsidRPr="00AF5EAC" w:rsidRDefault="00D7724A" w:rsidP="00D7724A">
      <w:pPr>
        <w:pStyle w:val="Odstavecseseznamem"/>
        <w:numPr>
          <w:ilvl w:val="0"/>
          <w:numId w:val="43"/>
        </w:numPr>
        <w:spacing w:line="240" w:lineRule="auto"/>
        <w:rPr>
          <w:rFonts w:ascii="Arial" w:hAnsi="Arial" w:cs="Arial"/>
          <w:b/>
          <w:i/>
        </w:rPr>
      </w:pPr>
      <w:r>
        <w:rPr>
          <w:rFonts w:ascii="Arial" w:hAnsi="Arial" w:cs="Arial"/>
          <w:b/>
          <w:i/>
        </w:rPr>
        <w:t>Stanovuje zákon lhůtu, do kdy má obec právní předpis po jeho vydání vyhlásit ve Sbírce?</w:t>
      </w:r>
    </w:p>
    <w:p w:rsidR="00D7724A" w:rsidRPr="004A5E69" w:rsidRDefault="00D7724A" w:rsidP="00D7724A">
      <w:pPr>
        <w:pStyle w:val="Odstavecseseznamem"/>
        <w:rPr>
          <w:rFonts w:ascii="Arial" w:hAnsi="Arial" w:cs="Arial"/>
          <w:b/>
          <w:i/>
        </w:rPr>
      </w:pPr>
    </w:p>
    <w:p w:rsidR="00D7724A" w:rsidRDefault="00D7724A" w:rsidP="00D7724A">
      <w:pPr>
        <w:rPr>
          <w:rFonts w:ascii="Arial" w:hAnsi="Arial" w:cs="Arial"/>
        </w:rPr>
      </w:pPr>
      <w:r>
        <w:rPr>
          <w:rFonts w:ascii="Arial" w:hAnsi="Arial" w:cs="Arial"/>
        </w:rPr>
        <w:t xml:space="preserve">Zákon žádnou konkrétní lhůtu nestanovuje. Pokud však dojde ke schválení příslušného právního předpisu, měla by obec činit kroky k jeho řádnému vyhlášení. Obec by tak měla vyhlásit právní předpis ve Sbírce bez zbytečného odkladu po jeho schválení. </w:t>
      </w:r>
    </w:p>
    <w:p w:rsidR="00D7724A" w:rsidRDefault="00D7724A" w:rsidP="00D7724A">
      <w:pPr>
        <w:rPr>
          <w:rFonts w:ascii="Arial" w:hAnsi="Arial" w:cs="Arial"/>
        </w:rPr>
      </w:pPr>
    </w:p>
    <w:p w:rsidR="00D7724A" w:rsidRDefault="00D7724A" w:rsidP="00D7724A">
      <w:pPr>
        <w:rPr>
          <w:rFonts w:ascii="Arial" w:hAnsi="Arial" w:cs="Arial"/>
        </w:rPr>
      </w:pPr>
      <w:r w:rsidRPr="008C41EE">
        <w:rPr>
          <w:rFonts w:ascii="Arial" w:hAnsi="Arial" w:cs="Arial"/>
        </w:rPr>
        <w:t>Dokud však obec právní předpis ve Sbírce nevyhlásí, nejedná se o platný (a účinný) právní přepis a obec podle něj nemůže postupovat.</w:t>
      </w:r>
    </w:p>
    <w:p w:rsidR="00D7724A" w:rsidRDefault="00D7724A" w:rsidP="00D7724A">
      <w:pPr>
        <w:rPr>
          <w:rFonts w:ascii="Arial" w:hAnsi="Arial" w:cs="Arial"/>
        </w:rPr>
      </w:pPr>
    </w:p>
    <w:p w:rsidR="00D7724A" w:rsidRPr="008C41EE" w:rsidRDefault="00D7724A" w:rsidP="00D7724A">
      <w:pPr>
        <w:rPr>
          <w:rFonts w:ascii="Arial" w:hAnsi="Arial" w:cs="Arial"/>
        </w:rPr>
      </w:pPr>
    </w:p>
    <w:p w:rsidR="00D7724A" w:rsidRPr="008C41EE" w:rsidRDefault="00D7724A" w:rsidP="00D7724A">
      <w:pPr>
        <w:pStyle w:val="Odstavecseseznamem"/>
        <w:numPr>
          <w:ilvl w:val="0"/>
          <w:numId w:val="43"/>
        </w:numPr>
        <w:spacing w:line="240" w:lineRule="auto"/>
        <w:rPr>
          <w:rFonts w:ascii="Arial" w:hAnsi="Arial" w:cs="Arial"/>
          <w:b/>
          <w:i/>
        </w:rPr>
      </w:pPr>
      <w:r w:rsidRPr="008C41EE">
        <w:rPr>
          <w:rFonts w:ascii="Arial" w:hAnsi="Arial" w:cs="Arial"/>
          <w:b/>
          <w:i/>
        </w:rPr>
        <w:t>Musí obec v případě opravy nesprávností zveřejnit oznámení o opravě na své úřední desce?</w:t>
      </w:r>
    </w:p>
    <w:p w:rsidR="00D7724A" w:rsidRPr="008C41EE" w:rsidRDefault="00D7724A" w:rsidP="00D7724A">
      <w:pPr>
        <w:pStyle w:val="Odstavecseseznamem"/>
        <w:rPr>
          <w:rFonts w:ascii="Arial" w:hAnsi="Arial" w:cs="Arial"/>
          <w:b/>
          <w:i/>
        </w:rPr>
      </w:pPr>
    </w:p>
    <w:p w:rsidR="00D7724A" w:rsidRDefault="00D7724A" w:rsidP="00D7724A">
      <w:pPr>
        <w:rPr>
          <w:rFonts w:ascii="Arial" w:hAnsi="Arial" w:cs="Arial"/>
        </w:rPr>
      </w:pPr>
      <w:r w:rsidRPr="008C41EE">
        <w:rPr>
          <w:rFonts w:ascii="Arial" w:hAnsi="Arial" w:cs="Arial"/>
        </w:rPr>
        <w:t>Ne, tato povinnost je v souladu s § 3 zákona o Sbírce právních předpisů a územních samosprávných celků a některých správních úřadů stanovena „pouze“ v případě vyhlášení právního předpisu. V případě oprav nesprávností není nutné žádné oznámení na úřední desce zveřejňovat.</w:t>
      </w:r>
    </w:p>
    <w:p w:rsidR="00D7724A" w:rsidRPr="002851CE" w:rsidRDefault="00D7724A" w:rsidP="00D7724A">
      <w:pPr>
        <w:rPr>
          <w:rFonts w:ascii="Arial" w:hAnsi="Arial" w:cs="Arial"/>
          <w:i/>
        </w:rPr>
      </w:pPr>
    </w:p>
    <w:p w:rsidR="00D7724A" w:rsidRDefault="00D7724A" w:rsidP="00D7724A">
      <w:pPr>
        <w:rPr>
          <w:rFonts w:ascii="Arial" w:hAnsi="Arial" w:cs="Arial"/>
        </w:rPr>
      </w:pPr>
    </w:p>
    <w:p w:rsidR="00D7724A" w:rsidRDefault="00D7724A" w:rsidP="00D7724A">
      <w:pPr>
        <w:pStyle w:val="Odstavecseseznamem"/>
        <w:numPr>
          <w:ilvl w:val="0"/>
          <w:numId w:val="43"/>
        </w:numPr>
        <w:spacing w:line="240" w:lineRule="auto"/>
        <w:rPr>
          <w:rFonts w:ascii="Arial" w:hAnsi="Arial" w:cs="Arial"/>
          <w:b/>
          <w:i/>
        </w:rPr>
      </w:pPr>
      <w:r>
        <w:rPr>
          <w:rFonts w:ascii="Arial" w:hAnsi="Arial" w:cs="Arial"/>
          <w:b/>
          <w:i/>
        </w:rPr>
        <w:t>Pokud dojde k novelizaci právního předpisu, bude umět Sbírka vytvářet i tzv. úplná znění?</w:t>
      </w:r>
    </w:p>
    <w:p w:rsidR="00D7724A" w:rsidRPr="00AF5EAC" w:rsidRDefault="00D7724A" w:rsidP="00D7724A">
      <w:pPr>
        <w:pStyle w:val="Odstavecseseznamem"/>
        <w:rPr>
          <w:rFonts w:ascii="Arial" w:hAnsi="Arial" w:cs="Arial"/>
          <w:b/>
          <w:i/>
        </w:rPr>
      </w:pPr>
    </w:p>
    <w:p w:rsidR="00D7724A" w:rsidRDefault="00D7724A" w:rsidP="00D7724A">
      <w:pPr>
        <w:rPr>
          <w:rFonts w:ascii="Arial" w:hAnsi="Arial" w:cs="Arial"/>
        </w:rPr>
      </w:pPr>
      <w:r>
        <w:rPr>
          <w:rFonts w:ascii="Arial" w:hAnsi="Arial" w:cs="Arial"/>
        </w:rPr>
        <w:t xml:space="preserve">S takovouto funkcionalitou není v současné době počítáno, neboť obce budou mít povinnost do Sbírky vložit i stávající právní předpisy, u kterých není </w:t>
      </w:r>
      <w:r w:rsidRPr="00A90B2B">
        <w:rPr>
          <w:rFonts w:ascii="Arial" w:hAnsi="Arial" w:cs="Arial"/>
          <w:spacing w:val="-2"/>
        </w:rPr>
        <w:t>vyžadován otevřený a strojově čitelný formát. Výhledově se však počítá s „překlopením“</w:t>
      </w:r>
      <w:r>
        <w:rPr>
          <w:rFonts w:ascii="Arial" w:hAnsi="Arial" w:cs="Arial"/>
        </w:rPr>
        <w:t xml:space="preserve"> Sbírky do nově připravované elektronické Sbírky zákonů, v rámci které se již s příslušnou funkcionalitou počítá.</w:t>
      </w:r>
    </w:p>
    <w:p w:rsidR="00D7724A" w:rsidRDefault="00D7724A" w:rsidP="00D7724A">
      <w:pPr>
        <w:pStyle w:val="Text"/>
        <w:jc w:val="both"/>
      </w:pPr>
    </w:p>
    <w:p w:rsidR="00D7724A" w:rsidRDefault="00D7724A" w:rsidP="00D7724A">
      <w:pPr>
        <w:pStyle w:val="Text"/>
        <w:jc w:val="both"/>
      </w:pPr>
    </w:p>
    <w:p w:rsidR="00D7724A" w:rsidRPr="00AF5EAC" w:rsidRDefault="00D7724A" w:rsidP="00D7724A">
      <w:pPr>
        <w:pStyle w:val="Odstavecseseznamem"/>
        <w:numPr>
          <w:ilvl w:val="0"/>
          <w:numId w:val="43"/>
        </w:numPr>
        <w:spacing w:line="240" w:lineRule="auto"/>
        <w:rPr>
          <w:rFonts w:ascii="Arial" w:hAnsi="Arial" w:cs="Arial"/>
          <w:b/>
          <w:i/>
        </w:rPr>
      </w:pPr>
      <w:r>
        <w:rPr>
          <w:rFonts w:ascii="Arial" w:hAnsi="Arial" w:cs="Arial"/>
          <w:b/>
          <w:i/>
        </w:rPr>
        <w:t>Sbírka bude čísla právním předpisům přidělovat „automaticky“. Může obec číslo právního předpisu i přes tuto skutečnost uvést přímo v názvu obecně závazné vyhlášky?</w:t>
      </w:r>
    </w:p>
    <w:p w:rsidR="00D7724A" w:rsidRPr="001267BA" w:rsidRDefault="00D7724A" w:rsidP="00D7724A">
      <w:pPr>
        <w:ind w:left="360"/>
        <w:rPr>
          <w:rFonts w:ascii="Arial" w:hAnsi="Arial" w:cs="Arial"/>
          <w:b/>
          <w:i/>
        </w:rPr>
      </w:pPr>
    </w:p>
    <w:p w:rsidR="00D7724A" w:rsidRDefault="00D7724A" w:rsidP="00D7724A">
      <w:pPr>
        <w:rPr>
          <w:rFonts w:ascii="Arial" w:hAnsi="Arial" w:cs="Arial"/>
        </w:rPr>
      </w:pPr>
      <w:r w:rsidRPr="001267BA">
        <w:rPr>
          <w:rFonts w:ascii="Arial" w:hAnsi="Arial" w:cs="Arial"/>
        </w:rPr>
        <w:t xml:space="preserve">Je čistě na uvážení obce, jak příslušný právní předpis pojmenuje, nicméně </w:t>
      </w:r>
      <w:r>
        <w:rPr>
          <w:rFonts w:ascii="Arial" w:hAnsi="Arial" w:cs="Arial"/>
        </w:rPr>
        <w:t xml:space="preserve">Ministerstvo vnitra </w:t>
      </w:r>
      <w:r w:rsidRPr="001267BA">
        <w:rPr>
          <w:rFonts w:ascii="Arial" w:hAnsi="Arial" w:cs="Arial"/>
        </w:rPr>
        <w:t xml:space="preserve">zásadně nedoporučuje v názvu uvádět </w:t>
      </w:r>
      <w:r>
        <w:rPr>
          <w:rFonts w:ascii="Arial" w:hAnsi="Arial" w:cs="Arial"/>
        </w:rPr>
        <w:t>číslo právního předpisu, neboť se následně nemusí shodovat s číslem ve Sbírce – např. obec v závěru roku 2021 přijme novou obecně závaznou vyhlášky a uvede v jejím názvu č. 5/2021. Obec však vyhlášku zveřejnění ve Sbírce až v lednu následujícího roku, které tak bude přiděleno č. 1/2022.</w:t>
      </w:r>
    </w:p>
    <w:p w:rsidR="00D7724A" w:rsidRDefault="00D7724A" w:rsidP="00D7724A">
      <w:pPr>
        <w:rPr>
          <w:rFonts w:ascii="Arial" w:hAnsi="Arial" w:cs="Arial"/>
        </w:rPr>
      </w:pPr>
    </w:p>
    <w:p w:rsidR="00D7724A" w:rsidRDefault="00D7724A" w:rsidP="00D7724A">
      <w:pPr>
        <w:rPr>
          <w:rFonts w:ascii="Arial" w:hAnsi="Arial" w:cs="Arial"/>
        </w:rPr>
      </w:pPr>
      <w:r>
        <w:rPr>
          <w:rFonts w:ascii="Arial" w:hAnsi="Arial" w:cs="Arial"/>
        </w:rPr>
        <w:t xml:space="preserve">V této souvislosti je nutné upozornit, že název právního předpisu nezahrnuje označení „obecně závazná vyhláška“ nebo „nařízení“ </w:t>
      </w:r>
      <w:r w:rsidRPr="00F542DA">
        <w:rPr>
          <w:rFonts w:ascii="Arial" w:hAnsi="Arial" w:cs="Arial"/>
        </w:rPr>
        <w:t xml:space="preserve">(jde o označení druhu právního předpisu) </w:t>
      </w:r>
      <w:r>
        <w:rPr>
          <w:rFonts w:ascii="Arial" w:hAnsi="Arial" w:cs="Arial"/>
        </w:rPr>
        <w:t>ani příslušné číslo.</w:t>
      </w:r>
    </w:p>
    <w:p w:rsidR="00D7724A" w:rsidRDefault="00D7724A" w:rsidP="00D7724A">
      <w:pPr>
        <w:rPr>
          <w:rFonts w:ascii="Arial" w:hAnsi="Arial" w:cs="Arial"/>
        </w:rPr>
      </w:pPr>
    </w:p>
    <w:p w:rsidR="00D7724A" w:rsidRDefault="00D7724A" w:rsidP="00D7724A">
      <w:pPr>
        <w:rPr>
          <w:rFonts w:ascii="Arial" w:hAnsi="Arial" w:cs="Arial"/>
        </w:rPr>
      </w:pPr>
      <w:r w:rsidRPr="004E2D7A">
        <w:rPr>
          <w:rFonts w:ascii="Arial" w:hAnsi="Arial" w:cs="Arial"/>
          <w:b/>
        </w:rPr>
        <w:t>Příklad 1</w:t>
      </w:r>
      <w:r>
        <w:rPr>
          <w:rFonts w:ascii="Arial" w:hAnsi="Arial" w:cs="Arial"/>
        </w:rPr>
        <w:t>: Obecně závazná vyhláška č. 5/2019, o nočním klidu – název právního předpisu je pouze „o nočním klidu“.</w:t>
      </w:r>
    </w:p>
    <w:p w:rsidR="00D7724A" w:rsidRDefault="00D7724A" w:rsidP="00D7724A">
      <w:pPr>
        <w:rPr>
          <w:rFonts w:ascii="Arial" w:hAnsi="Arial" w:cs="Arial"/>
        </w:rPr>
      </w:pPr>
    </w:p>
    <w:p w:rsidR="00D7724A" w:rsidRDefault="00D7724A" w:rsidP="00D7724A">
      <w:pPr>
        <w:rPr>
          <w:rFonts w:ascii="Arial" w:hAnsi="Arial" w:cs="Arial"/>
        </w:rPr>
      </w:pPr>
      <w:r w:rsidRPr="004E2D7A">
        <w:rPr>
          <w:rFonts w:ascii="Arial" w:hAnsi="Arial" w:cs="Arial"/>
          <w:b/>
        </w:rPr>
        <w:t>Příklad 2</w:t>
      </w:r>
      <w:r>
        <w:rPr>
          <w:rFonts w:ascii="Arial" w:hAnsi="Arial" w:cs="Arial"/>
        </w:rPr>
        <w:t>: Nařízení č. 5/2020, kterým se vydává tržní řád – název právního předpisu je pouze „kterým se vydává tržní řád“.</w:t>
      </w:r>
    </w:p>
    <w:p w:rsidR="00D7724A" w:rsidRDefault="00D7724A" w:rsidP="00D7724A">
      <w:pPr>
        <w:pStyle w:val="Odstavecseseznamem"/>
        <w:numPr>
          <w:ilvl w:val="0"/>
          <w:numId w:val="43"/>
        </w:numPr>
        <w:spacing w:line="240" w:lineRule="auto"/>
        <w:rPr>
          <w:rFonts w:ascii="Arial" w:hAnsi="Arial" w:cs="Arial"/>
          <w:b/>
          <w:i/>
        </w:rPr>
      </w:pPr>
      <w:r>
        <w:rPr>
          <w:rFonts w:ascii="Arial" w:hAnsi="Arial" w:cs="Arial"/>
          <w:b/>
          <w:i/>
        </w:rPr>
        <w:t>J</w:t>
      </w:r>
      <w:r w:rsidRPr="004A5E69">
        <w:rPr>
          <w:rFonts w:ascii="Arial" w:hAnsi="Arial" w:cs="Arial"/>
          <w:b/>
          <w:i/>
        </w:rPr>
        <w:t>akým způsobem maj</w:t>
      </w:r>
      <w:r>
        <w:rPr>
          <w:rFonts w:ascii="Arial" w:hAnsi="Arial" w:cs="Arial"/>
          <w:b/>
          <w:i/>
        </w:rPr>
        <w:t>í obce zabezpečit nahlížení do S</w:t>
      </w:r>
      <w:r w:rsidRPr="004A5E69">
        <w:rPr>
          <w:rFonts w:ascii="Arial" w:hAnsi="Arial" w:cs="Arial"/>
          <w:b/>
          <w:i/>
        </w:rPr>
        <w:t xml:space="preserve">bírky v úředních hodinách? </w:t>
      </w:r>
    </w:p>
    <w:p w:rsidR="00D7724A" w:rsidRPr="004A5E69" w:rsidRDefault="00D7724A" w:rsidP="00D7724A">
      <w:pPr>
        <w:pStyle w:val="Odstavecseseznamem"/>
        <w:ind w:left="360"/>
        <w:rPr>
          <w:rFonts w:ascii="Arial" w:hAnsi="Arial" w:cs="Arial"/>
          <w:b/>
          <w:i/>
        </w:rPr>
      </w:pPr>
    </w:p>
    <w:p w:rsidR="00D7724A" w:rsidRDefault="00D7724A" w:rsidP="00D7724A">
      <w:pPr>
        <w:rPr>
          <w:rFonts w:ascii="Arial" w:hAnsi="Arial" w:cs="Arial"/>
        </w:rPr>
      </w:pPr>
      <w:r w:rsidRPr="004A5E69">
        <w:rPr>
          <w:rFonts w:ascii="Arial" w:hAnsi="Arial" w:cs="Arial"/>
        </w:rPr>
        <w:lastRenderedPageBreak/>
        <w:t>Dle § 7 zákona o Sbírce právních předpisů a územních samosprávných celků a</w:t>
      </w:r>
      <w:r>
        <w:rPr>
          <w:rFonts w:ascii="Arial" w:hAnsi="Arial" w:cs="Arial"/>
        </w:rPr>
        <w:t> </w:t>
      </w:r>
      <w:r w:rsidRPr="004A5E69">
        <w:rPr>
          <w:rFonts w:ascii="Arial" w:hAnsi="Arial" w:cs="Arial"/>
        </w:rPr>
        <w:t>některých správních úřadů má obec povinnost umožnit v úředních hodinách bezplatně nahlížet do Sbírky v elektronické podobě.</w:t>
      </w:r>
      <w:r>
        <w:rPr>
          <w:rFonts w:ascii="Arial" w:hAnsi="Arial" w:cs="Arial"/>
        </w:rPr>
        <w:t xml:space="preserve"> Jakým způsobem tak obec učiní, je čistě na jejím uvážení.</w:t>
      </w:r>
    </w:p>
    <w:p w:rsidR="00D7724A" w:rsidRDefault="00D7724A" w:rsidP="00D7724A">
      <w:pPr>
        <w:rPr>
          <w:rFonts w:ascii="Arial" w:hAnsi="Arial" w:cs="Arial"/>
        </w:rPr>
      </w:pPr>
    </w:p>
    <w:p w:rsidR="00D7724A" w:rsidRDefault="00D7724A" w:rsidP="00D7724A">
      <w:pPr>
        <w:rPr>
          <w:rFonts w:ascii="Arial" w:hAnsi="Arial" w:cs="Arial"/>
        </w:rPr>
      </w:pPr>
    </w:p>
    <w:p w:rsidR="00D7724A" w:rsidRPr="00BE7662" w:rsidRDefault="00D7724A" w:rsidP="00D7724A">
      <w:pPr>
        <w:pStyle w:val="Odstavecseseznamem"/>
        <w:numPr>
          <w:ilvl w:val="0"/>
          <w:numId w:val="43"/>
        </w:numPr>
        <w:spacing w:line="240" w:lineRule="auto"/>
        <w:rPr>
          <w:rFonts w:ascii="Arial" w:hAnsi="Arial" w:cs="Arial"/>
          <w:b/>
          <w:i/>
        </w:rPr>
      </w:pPr>
      <w:r w:rsidRPr="00BE7662">
        <w:rPr>
          <w:rFonts w:ascii="Arial" w:hAnsi="Arial" w:cs="Arial"/>
          <w:b/>
          <w:i/>
          <w:iCs/>
        </w:rPr>
        <w:t>Řeší Sbírka nějakým způsobem shodné názvy obcí</w:t>
      </w:r>
      <w:r w:rsidRPr="00BE7662">
        <w:t xml:space="preserve"> </w:t>
      </w:r>
      <w:r w:rsidRPr="00BE7662">
        <w:rPr>
          <w:rFonts w:ascii="Arial" w:hAnsi="Arial" w:cs="Arial"/>
          <w:b/>
          <w:i/>
          <w:iCs/>
        </w:rPr>
        <w:t>v souvislosti s vyplňováním příslušných formulářů pro vyhlašování právních předpisů?</w:t>
      </w:r>
    </w:p>
    <w:p w:rsidR="00D7724A" w:rsidRPr="00BE7662" w:rsidRDefault="00D7724A" w:rsidP="00D7724A">
      <w:pPr>
        <w:ind w:left="360"/>
        <w:rPr>
          <w:rFonts w:ascii="Arial" w:hAnsi="Arial" w:cs="Arial"/>
          <w:b/>
          <w:i/>
        </w:rPr>
      </w:pPr>
    </w:p>
    <w:p w:rsidR="00D7724A" w:rsidRDefault="00D7724A" w:rsidP="00D7724A">
      <w:pPr>
        <w:rPr>
          <w:rFonts w:ascii="Arial" w:hAnsi="Arial" w:cs="Arial"/>
        </w:rPr>
      </w:pPr>
      <w:r w:rsidRPr="00BE7662">
        <w:rPr>
          <w:rFonts w:ascii="Arial" w:hAnsi="Arial" w:cs="Arial"/>
        </w:rPr>
        <w:t>Obec se ve formuláři identifikuje prostřednictvím svého názvu současně s ID datové schránky, což je jedinečný identifikační údaj pro každý subjekt. Při vyplňování si vkladatel (obec) může zvolit, zda vyplní název obce a našeptávač mu průběžně předselektuje název obce automaticky spárovaný s konkrétním ID datové schránky, či naopak nejprve začne vyplňovat ID datové schránky a našeptávač nabídne daný ID datové schránky automaticky spárovaný s názvem obce. Vkladatel (obec) pak následně vybere správnou variantu.</w:t>
      </w:r>
    </w:p>
    <w:p w:rsidR="00D7724A" w:rsidRDefault="00D7724A" w:rsidP="00D7724A">
      <w:pPr>
        <w:rPr>
          <w:rFonts w:ascii="Arial" w:hAnsi="Arial" w:cs="Arial"/>
        </w:rPr>
      </w:pPr>
    </w:p>
    <w:p w:rsidR="00D7724A" w:rsidRDefault="00D7724A" w:rsidP="00D7724A">
      <w:pPr>
        <w:rPr>
          <w:rFonts w:ascii="Arial" w:hAnsi="Arial" w:cs="Arial"/>
        </w:rPr>
      </w:pPr>
    </w:p>
    <w:p w:rsidR="00D7724A" w:rsidRDefault="00D7724A" w:rsidP="00D7724A">
      <w:pPr>
        <w:pStyle w:val="Odstavecseseznamem"/>
        <w:numPr>
          <w:ilvl w:val="0"/>
          <w:numId w:val="43"/>
        </w:numPr>
        <w:spacing w:line="240" w:lineRule="auto"/>
        <w:rPr>
          <w:rFonts w:ascii="Arial" w:hAnsi="Arial" w:cs="Arial"/>
          <w:b/>
          <w:i/>
        </w:rPr>
      </w:pPr>
      <w:r w:rsidRPr="00EE133B">
        <w:rPr>
          <w:rFonts w:ascii="Arial" w:hAnsi="Arial" w:cs="Arial"/>
          <w:b/>
          <w:i/>
          <w:iCs/>
        </w:rPr>
        <w:t>Koho a jak lze požádat o navýšení kapacity datové schránky obce?</w:t>
      </w:r>
      <w:r>
        <w:rPr>
          <w:rFonts w:ascii="Arial" w:hAnsi="Arial" w:cs="Arial"/>
          <w:b/>
          <w:i/>
        </w:rPr>
        <w:t xml:space="preserve"> </w:t>
      </w:r>
    </w:p>
    <w:p w:rsidR="00D7724A" w:rsidRDefault="00D7724A" w:rsidP="00D7724A">
      <w:pPr>
        <w:pStyle w:val="Odstavecseseznamem"/>
        <w:rPr>
          <w:rFonts w:ascii="Arial" w:hAnsi="Arial" w:cs="Arial"/>
          <w:b/>
          <w:i/>
        </w:rPr>
      </w:pPr>
    </w:p>
    <w:p w:rsidR="00D7724A" w:rsidRDefault="00D7724A" w:rsidP="00D7724A">
      <w:pPr>
        <w:rPr>
          <w:rFonts w:ascii="Arial" w:hAnsi="Arial" w:cs="Arial"/>
        </w:rPr>
      </w:pPr>
      <w:r>
        <w:rPr>
          <w:rFonts w:ascii="Arial" w:hAnsi="Arial" w:cs="Arial"/>
        </w:rPr>
        <w:t xml:space="preserve">Věcným správcem je Ministerstvo vnitra; veškeré informace lze nalézt na webových stránkách: </w:t>
      </w:r>
      <w:hyperlink r:id="rId8" w:history="1">
        <w:r w:rsidRPr="003B280C">
          <w:rPr>
            <w:rStyle w:val="Hypertextovodkaz"/>
            <w:rFonts w:ascii="Arial" w:hAnsi="Arial" w:cs="Arial"/>
          </w:rPr>
          <w:t>https://www.datoveschranky.info</w:t>
        </w:r>
      </w:hyperlink>
      <w:r>
        <w:rPr>
          <w:rFonts w:ascii="Arial" w:hAnsi="Arial" w:cs="Arial"/>
        </w:rPr>
        <w:t>.</w:t>
      </w:r>
    </w:p>
    <w:p w:rsidR="00D7724A" w:rsidRDefault="00D7724A" w:rsidP="00D7724A">
      <w:pPr>
        <w:rPr>
          <w:rFonts w:ascii="Arial" w:hAnsi="Arial" w:cs="Arial"/>
        </w:rPr>
      </w:pPr>
    </w:p>
    <w:p w:rsidR="00D7724A" w:rsidRDefault="00D7724A" w:rsidP="00D7724A">
      <w:pPr>
        <w:rPr>
          <w:rFonts w:ascii="Arial" w:hAnsi="Arial" w:cs="Arial"/>
        </w:rPr>
      </w:pPr>
    </w:p>
    <w:p w:rsidR="00D7724A" w:rsidRDefault="00D7724A" w:rsidP="00D7724A">
      <w:pPr>
        <w:rPr>
          <w:rFonts w:ascii="Arial" w:hAnsi="Arial" w:cs="Arial"/>
        </w:rPr>
      </w:pPr>
    </w:p>
    <w:p w:rsidR="00D7724A" w:rsidRDefault="00D7724A" w:rsidP="00D7724A">
      <w:pPr>
        <w:rPr>
          <w:rFonts w:ascii="Arial" w:hAnsi="Arial" w:cs="Arial"/>
        </w:rPr>
      </w:pPr>
    </w:p>
    <w:p w:rsidR="00F243BF" w:rsidRDefault="00D7724A" w:rsidP="00D7724A">
      <w:pPr>
        <w:rPr>
          <w:rFonts w:ascii="Arial" w:hAnsi="Arial" w:cs="Arial"/>
        </w:rPr>
      </w:pPr>
      <w:r w:rsidRPr="00AB61C1">
        <w:rPr>
          <w:rFonts w:ascii="Arial" w:hAnsi="Arial" w:cs="Arial"/>
        </w:rPr>
        <w:t xml:space="preserve">Zpracoval: </w:t>
      </w:r>
    </w:p>
    <w:p w:rsidR="00D7724A" w:rsidRPr="00AB61C1" w:rsidRDefault="00D7724A" w:rsidP="00D7724A">
      <w:pPr>
        <w:rPr>
          <w:rFonts w:ascii="Arial" w:hAnsi="Arial" w:cs="Arial"/>
        </w:rPr>
      </w:pPr>
      <w:bookmarkStart w:id="0" w:name="_GoBack"/>
      <w:bookmarkEnd w:id="0"/>
      <w:r w:rsidRPr="00AB61C1">
        <w:rPr>
          <w:rFonts w:ascii="Arial" w:hAnsi="Arial" w:cs="Arial"/>
        </w:rPr>
        <w:t>Odbor veřejné správy, dozoru a kontroly</w:t>
      </w:r>
      <w:r>
        <w:rPr>
          <w:rFonts w:ascii="Arial" w:hAnsi="Arial" w:cs="Arial"/>
        </w:rPr>
        <w:t xml:space="preserve"> Ministerstva vnitra</w:t>
      </w:r>
      <w:r w:rsidR="00F243BF">
        <w:rPr>
          <w:rFonts w:ascii="Arial" w:hAnsi="Arial" w:cs="Arial"/>
        </w:rPr>
        <w:t xml:space="preserve"> ke dni 12. 10. 2021</w:t>
      </w:r>
    </w:p>
    <w:p w:rsidR="00F14AD5" w:rsidRPr="00D7724A" w:rsidRDefault="00F14AD5" w:rsidP="00D7724A"/>
    <w:sectPr w:rsidR="00F14AD5" w:rsidRPr="00D7724A" w:rsidSect="0032296F">
      <w:headerReference w:type="even" r:id="rId9"/>
      <w:headerReference w:type="default" r:id="rId10"/>
      <w:footerReference w:type="default" r:id="rId11"/>
      <w:headerReference w:type="first" r:id="rId12"/>
      <w:pgSz w:w="11906" w:h="16838"/>
      <w:pgMar w:top="1701" w:right="1418" w:bottom="1418" w:left="1418"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927" w:rsidRDefault="00540927" w:rsidP="005F0C32">
      <w:pPr>
        <w:spacing w:line="240" w:lineRule="auto"/>
      </w:pPr>
      <w:r>
        <w:separator/>
      </w:r>
    </w:p>
  </w:endnote>
  <w:endnote w:type="continuationSeparator" w:id="0">
    <w:p w:rsidR="00540927" w:rsidRDefault="00540927" w:rsidP="005F0C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635604"/>
      <w:docPartObj>
        <w:docPartGallery w:val="Page Numbers (Bottom of Page)"/>
        <w:docPartUnique/>
      </w:docPartObj>
    </w:sdtPr>
    <w:sdtEndPr/>
    <w:sdtContent>
      <w:p w:rsidR="004E0F3F" w:rsidRDefault="004E0F3F">
        <w:pPr>
          <w:pStyle w:val="Zpat"/>
          <w:jc w:val="center"/>
        </w:pPr>
        <w:r>
          <w:fldChar w:fldCharType="begin"/>
        </w:r>
        <w:r>
          <w:instrText>PAGE   \* MERGEFORMAT</w:instrText>
        </w:r>
        <w:r>
          <w:fldChar w:fldCharType="separate"/>
        </w:r>
        <w:r w:rsidR="00F243BF">
          <w:t>5</w:t>
        </w:r>
        <w:r>
          <w:fldChar w:fldCharType="end"/>
        </w:r>
      </w:p>
    </w:sdtContent>
  </w:sdt>
  <w:p w:rsidR="004E0F3F" w:rsidRDefault="004E0F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927" w:rsidRDefault="00540927" w:rsidP="005F0C32">
      <w:pPr>
        <w:spacing w:line="240" w:lineRule="auto"/>
      </w:pPr>
      <w:r>
        <w:separator/>
      </w:r>
    </w:p>
  </w:footnote>
  <w:footnote w:type="continuationSeparator" w:id="0">
    <w:p w:rsidR="00540927" w:rsidRDefault="00540927" w:rsidP="005F0C32">
      <w:pPr>
        <w:spacing w:line="240" w:lineRule="auto"/>
      </w:pPr>
      <w:r>
        <w:continuationSeparator/>
      </w:r>
    </w:p>
  </w:footnote>
  <w:footnote w:id="1">
    <w:p w:rsidR="00D7724A" w:rsidRPr="00DC3F86" w:rsidRDefault="00D7724A" w:rsidP="00D7724A">
      <w:pPr>
        <w:pStyle w:val="Textpoznpodarou"/>
        <w:rPr>
          <w:rFonts w:ascii="Arial" w:hAnsi="Arial" w:cs="Arial"/>
        </w:rPr>
      </w:pPr>
      <w:r w:rsidRPr="00DC3F86">
        <w:rPr>
          <w:rStyle w:val="Znakapoznpodarou"/>
          <w:rFonts w:ascii="Arial" w:hAnsi="Arial" w:cs="Arial"/>
        </w:rPr>
        <w:footnoteRef/>
      </w:r>
      <w:r w:rsidRPr="00DC3F86">
        <w:rPr>
          <w:rFonts w:ascii="Arial" w:hAnsi="Arial" w:cs="Arial"/>
        </w:rPr>
        <w:t xml:space="preserve"> Obecně závazné vyhlášky a nařízení obce (dále jen „právní předpis obce“) musí být vyhlášeny, což je podmínkou platnosti právního předpisu obce. Vyhlášení se provede tak, že se právní předpis obce vyvěsí na úřední desce obecního úřadu po dobu 15 dnů. Dnem vyhlášení právního předpisu obce je první den jeho vyvěšení na úřední desce. Kromě toho může obec uveřejnit právní předpis obce způsobem v místě obvyklým.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F3F" w:rsidRDefault="004E0F3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F3F" w:rsidRDefault="004E0F3F">
    <w:pPr>
      <w:pStyle w:val="Zhlav"/>
    </w:pPr>
    <w:r w:rsidRPr="00295A4A">
      <w:rPr>
        <w:lang w:eastAsia="cs-CZ"/>
      </w:rPr>
      <w:drawing>
        <wp:anchor distT="0" distB="0" distL="114300" distR="114300" simplePos="0" relativeHeight="251675648" behindDoc="0" locked="0" layoutInCell="1" allowOverlap="1">
          <wp:simplePos x="0" y="0"/>
          <wp:positionH relativeFrom="margin">
            <wp:posOffset>3874135</wp:posOffset>
          </wp:positionH>
          <wp:positionV relativeFrom="paragraph">
            <wp:posOffset>303226</wp:posOffset>
          </wp:positionV>
          <wp:extent cx="1916430" cy="523875"/>
          <wp:effectExtent l="0" t="0" r="7620" b="9525"/>
          <wp:wrapNone/>
          <wp:docPr id="28" name="Obrázek 28"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23875"/>
                  </a:xfrm>
                  <a:prstGeom prst="rect">
                    <a:avLst/>
                  </a:prstGeom>
                  <a:noFill/>
                  <a:ln>
                    <a:noFill/>
                  </a:ln>
                </pic:spPr>
              </pic:pic>
            </a:graphicData>
          </a:graphic>
        </wp:anchor>
      </w:drawing>
    </w:r>
    <w:r w:rsidRPr="00295A4A">
      <w:rPr>
        <w:lang w:eastAsia="cs-CZ"/>
      </w:rPr>
      <w:drawing>
        <wp:anchor distT="0" distB="0" distL="114300" distR="114300" simplePos="0" relativeHeight="251674624" behindDoc="0" locked="0" layoutInCell="1" allowOverlap="1">
          <wp:simplePos x="0" y="0"/>
          <wp:positionH relativeFrom="column">
            <wp:posOffset>0</wp:posOffset>
          </wp:positionH>
          <wp:positionV relativeFrom="paragraph">
            <wp:posOffset>189230</wp:posOffset>
          </wp:positionV>
          <wp:extent cx="3070561" cy="636555"/>
          <wp:effectExtent l="0" t="0" r="0" b="0"/>
          <wp:wrapTopAndBottom/>
          <wp:docPr id="29" name="Obrázek 29"/>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0561" cy="63655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F3F" w:rsidRDefault="004E0F3F">
    <w:pPr>
      <w:pStyle w:val="Zhlav"/>
    </w:pPr>
    <w:r w:rsidRPr="00295A4A">
      <w:rPr>
        <w:lang w:eastAsia="cs-CZ"/>
      </w:rPr>
      <w:drawing>
        <wp:anchor distT="0" distB="0" distL="114300" distR="114300" simplePos="0" relativeHeight="251681792" behindDoc="0" locked="0" layoutInCell="1" allowOverlap="1">
          <wp:simplePos x="0" y="0"/>
          <wp:positionH relativeFrom="margin">
            <wp:align>right</wp:align>
          </wp:positionH>
          <wp:positionV relativeFrom="paragraph">
            <wp:posOffset>238125</wp:posOffset>
          </wp:positionV>
          <wp:extent cx="1916430" cy="523875"/>
          <wp:effectExtent l="0" t="0" r="7620" b="9525"/>
          <wp:wrapNone/>
          <wp:docPr id="30" name="Obrázek 30"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23875"/>
                  </a:xfrm>
                  <a:prstGeom prst="rect">
                    <a:avLst/>
                  </a:prstGeom>
                  <a:noFill/>
                  <a:ln>
                    <a:noFill/>
                  </a:ln>
                </pic:spPr>
              </pic:pic>
            </a:graphicData>
          </a:graphic>
        </wp:anchor>
      </w:drawing>
    </w:r>
    <w:r w:rsidRPr="00295A4A">
      <w:rPr>
        <w:lang w:eastAsia="cs-CZ"/>
      </w:rPr>
      <w:drawing>
        <wp:anchor distT="0" distB="0" distL="114300" distR="114300" simplePos="0" relativeHeight="251679744" behindDoc="0" locked="0" layoutInCell="1" allowOverlap="1">
          <wp:simplePos x="0" y="0"/>
          <wp:positionH relativeFrom="column">
            <wp:posOffset>-295275</wp:posOffset>
          </wp:positionH>
          <wp:positionV relativeFrom="paragraph">
            <wp:posOffset>228600</wp:posOffset>
          </wp:positionV>
          <wp:extent cx="3070561" cy="636555"/>
          <wp:effectExtent l="0" t="0" r="0" b="0"/>
          <wp:wrapTopAndBottom/>
          <wp:docPr id="31" name="Obrázek 3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0561" cy="63655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573"/>
    <w:multiLevelType w:val="multilevel"/>
    <w:tmpl w:val="3320AB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D97591"/>
    <w:multiLevelType w:val="hybridMultilevel"/>
    <w:tmpl w:val="EF0E912C"/>
    <w:lvl w:ilvl="0" w:tplc="D2C0B15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C24AEF"/>
    <w:multiLevelType w:val="hybridMultilevel"/>
    <w:tmpl w:val="D9BE0762"/>
    <w:lvl w:ilvl="0" w:tplc="04050001">
      <w:start w:val="1"/>
      <w:numFmt w:val="bullet"/>
      <w:lvlText w:val=""/>
      <w:lvlJc w:val="left"/>
      <w:pPr>
        <w:ind w:left="3600" w:hanging="360"/>
      </w:pPr>
      <w:rPr>
        <w:rFonts w:ascii="Symbol" w:hAnsi="Symbol"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3" w15:restartNumberingAfterBreak="0">
    <w:nsid w:val="053024C2"/>
    <w:multiLevelType w:val="multilevel"/>
    <w:tmpl w:val="F6F6CF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9014E7"/>
    <w:multiLevelType w:val="hybridMultilevel"/>
    <w:tmpl w:val="1D2C9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C9267D"/>
    <w:multiLevelType w:val="hybridMultilevel"/>
    <w:tmpl w:val="162AB0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B0399E"/>
    <w:multiLevelType w:val="hybridMultilevel"/>
    <w:tmpl w:val="EF0E912C"/>
    <w:lvl w:ilvl="0" w:tplc="D2C0B15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00542E"/>
    <w:multiLevelType w:val="hybridMultilevel"/>
    <w:tmpl w:val="428A2F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0C70D5"/>
    <w:multiLevelType w:val="hybridMultilevel"/>
    <w:tmpl w:val="361E8FCC"/>
    <w:lvl w:ilvl="0" w:tplc="2DB6EF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4C1B4B"/>
    <w:multiLevelType w:val="hybridMultilevel"/>
    <w:tmpl w:val="361E8FCC"/>
    <w:lvl w:ilvl="0" w:tplc="2DB6EF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B433AB"/>
    <w:multiLevelType w:val="multilevel"/>
    <w:tmpl w:val="E93412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913D30"/>
    <w:multiLevelType w:val="hybridMultilevel"/>
    <w:tmpl w:val="58CE6924"/>
    <w:lvl w:ilvl="0" w:tplc="EFDA2E8E">
      <w:start w:val="1"/>
      <w:numFmt w:val="bullet"/>
      <w:lvlText w:val=""/>
      <w:lvlJc w:val="left"/>
      <w:pPr>
        <w:ind w:left="720" w:hanging="360"/>
      </w:pPr>
      <w:rPr>
        <w:rFonts w:ascii="Symbol" w:hAnsi="Symbol" w:hint="default"/>
      </w:rPr>
    </w:lvl>
    <w:lvl w:ilvl="1" w:tplc="6A7815E6">
      <w:start w:val="1"/>
      <w:numFmt w:val="bullet"/>
      <w:lvlText w:val="o"/>
      <w:lvlJc w:val="left"/>
      <w:pPr>
        <w:ind w:left="1440" w:hanging="360"/>
      </w:pPr>
      <w:rPr>
        <w:rFonts w:ascii="Courier New" w:hAnsi="Courier New" w:hint="default"/>
      </w:rPr>
    </w:lvl>
    <w:lvl w:ilvl="2" w:tplc="5FE2C466">
      <w:start w:val="1"/>
      <w:numFmt w:val="bullet"/>
      <w:lvlText w:val=""/>
      <w:lvlJc w:val="left"/>
      <w:pPr>
        <w:ind w:left="2160" w:hanging="360"/>
      </w:pPr>
      <w:rPr>
        <w:rFonts w:ascii="Wingdings" w:hAnsi="Wingdings" w:hint="default"/>
      </w:rPr>
    </w:lvl>
    <w:lvl w:ilvl="3" w:tplc="01E64A9A">
      <w:start w:val="1"/>
      <w:numFmt w:val="bullet"/>
      <w:lvlText w:val=""/>
      <w:lvlJc w:val="left"/>
      <w:pPr>
        <w:ind w:left="2880" w:hanging="360"/>
      </w:pPr>
      <w:rPr>
        <w:rFonts w:ascii="Symbol" w:hAnsi="Symbol" w:hint="default"/>
      </w:rPr>
    </w:lvl>
    <w:lvl w:ilvl="4" w:tplc="6E9A6406">
      <w:start w:val="1"/>
      <w:numFmt w:val="bullet"/>
      <w:lvlText w:val="o"/>
      <w:lvlJc w:val="left"/>
      <w:pPr>
        <w:ind w:left="3600" w:hanging="360"/>
      </w:pPr>
      <w:rPr>
        <w:rFonts w:ascii="Courier New" w:hAnsi="Courier New" w:hint="default"/>
      </w:rPr>
    </w:lvl>
    <w:lvl w:ilvl="5" w:tplc="B10CCCDE">
      <w:start w:val="1"/>
      <w:numFmt w:val="bullet"/>
      <w:lvlText w:val=""/>
      <w:lvlJc w:val="left"/>
      <w:pPr>
        <w:ind w:left="4320" w:hanging="360"/>
      </w:pPr>
      <w:rPr>
        <w:rFonts w:ascii="Wingdings" w:hAnsi="Wingdings" w:hint="default"/>
      </w:rPr>
    </w:lvl>
    <w:lvl w:ilvl="6" w:tplc="0358B614">
      <w:start w:val="1"/>
      <w:numFmt w:val="bullet"/>
      <w:lvlText w:val=""/>
      <w:lvlJc w:val="left"/>
      <w:pPr>
        <w:ind w:left="5040" w:hanging="360"/>
      </w:pPr>
      <w:rPr>
        <w:rFonts w:ascii="Symbol" w:hAnsi="Symbol" w:hint="default"/>
      </w:rPr>
    </w:lvl>
    <w:lvl w:ilvl="7" w:tplc="96248E02">
      <w:start w:val="1"/>
      <w:numFmt w:val="bullet"/>
      <w:lvlText w:val="o"/>
      <w:lvlJc w:val="left"/>
      <w:pPr>
        <w:ind w:left="5760" w:hanging="360"/>
      </w:pPr>
      <w:rPr>
        <w:rFonts w:ascii="Courier New" w:hAnsi="Courier New" w:hint="default"/>
      </w:rPr>
    </w:lvl>
    <w:lvl w:ilvl="8" w:tplc="4836937A">
      <w:start w:val="1"/>
      <w:numFmt w:val="bullet"/>
      <w:lvlText w:val=""/>
      <w:lvlJc w:val="left"/>
      <w:pPr>
        <w:ind w:left="6480" w:hanging="360"/>
      </w:pPr>
      <w:rPr>
        <w:rFonts w:ascii="Wingdings" w:hAnsi="Wingdings" w:hint="default"/>
      </w:rPr>
    </w:lvl>
  </w:abstractNum>
  <w:abstractNum w:abstractNumId="12" w15:restartNumberingAfterBreak="0">
    <w:nsid w:val="22A954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4F500E"/>
    <w:multiLevelType w:val="hybridMultilevel"/>
    <w:tmpl w:val="C9D6BA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001963"/>
    <w:multiLevelType w:val="hybridMultilevel"/>
    <w:tmpl w:val="361E8FCC"/>
    <w:lvl w:ilvl="0" w:tplc="2DB6EF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075D3A"/>
    <w:multiLevelType w:val="multilevel"/>
    <w:tmpl w:val="503C77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465FF7"/>
    <w:multiLevelType w:val="hybridMultilevel"/>
    <w:tmpl w:val="97226DEA"/>
    <w:lvl w:ilvl="0" w:tplc="04050001">
      <w:start w:val="1"/>
      <w:numFmt w:val="bullet"/>
      <w:lvlText w:val=""/>
      <w:lvlJc w:val="left"/>
      <w:pPr>
        <w:ind w:left="8139" w:hanging="360"/>
      </w:pPr>
      <w:rPr>
        <w:rFonts w:ascii="Symbol" w:hAnsi="Symbol" w:hint="default"/>
      </w:rPr>
    </w:lvl>
    <w:lvl w:ilvl="1" w:tplc="04050003" w:tentative="1">
      <w:start w:val="1"/>
      <w:numFmt w:val="bullet"/>
      <w:lvlText w:val="o"/>
      <w:lvlJc w:val="left"/>
      <w:pPr>
        <w:ind w:left="8859" w:hanging="360"/>
      </w:pPr>
      <w:rPr>
        <w:rFonts w:ascii="Courier New" w:hAnsi="Courier New" w:cs="Courier New" w:hint="default"/>
      </w:rPr>
    </w:lvl>
    <w:lvl w:ilvl="2" w:tplc="04050005" w:tentative="1">
      <w:start w:val="1"/>
      <w:numFmt w:val="bullet"/>
      <w:lvlText w:val=""/>
      <w:lvlJc w:val="left"/>
      <w:pPr>
        <w:ind w:left="9579" w:hanging="360"/>
      </w:pPr>
      <w:rPr>
        <w:rFonts w:ascii="Wingdings" w:hAnsi="Wingdings" w:hint="default"/>
      </w:rPr>
    </w:lvl>
    <w:lvl w:ilvl="3" w:tplc="04050001" w:tentative="1">
      <w:start w:val="1"/>
      <w:numFmt w:val="bullet"/>
      <w:lvlText w:val=""/>
      <w:lvlJc w:val="left"/>
      <w:pPr>
        <w:ind w:left="10299" w:hanging="360"/>
      </w:pPr>
      <w:rPr>
        <w:rFonts w:ascii="Symbol" w:hAnsi="Symbol" w:hint="default"/>
      </w:rPr>
    </w:lvl>
    <w:lvl w:ilvl="4" w:tplc="04050003" w:tentative="1">
      <w:start w:val="1"/>
      <w:numFmt w:val="bullet"/>
      <w:lvlText w:val="o"/>
      <w:lvlJc w:val="left"/>
      <w:pPr>
        <w:ind w:left="11019" w:hanging="360"/>
      </w:pPr>
      <w:rPr>
        <w:rFonts w:ascii="Courier New" w:hAnsi="Courier New" w:cs="Courier New" w:hint="default"/>
      </w:rPr>
    </w:lvl>
    <w:lvl w:ilvl="5" w:tplc="04050005" w:tentative="1">
      <w:start w:val="1"/>
      <w:numFmt w:val="bullet"/>
      <w:lvlText w:val=""/>
      <w:lvlJc w:val="left"/>
      <w:pPr>
        <w:ind w:left="11739" w:hanging="360"/>
      </w:pPr>
      <w:rPr>
        <w:rFonts w:ascii="Wingdings" w:hAnsi="Wingdings" w:hint="default"/>
      </w:rPr>
    </w:lvl>
    <w:lvl w:ilvl="6" w:tplc="04050001" w:tentative="1">
      <w:start w:val="1"/>
      <w:numFmt w:val="bullet"/>
      <w:lvlText w:val=""/>
      <w:lvlJc w:val="left"/>
      <w:pPr>
        <w:ind w:left="12459" w:hanging="360"/>
      </w:pPr>
      <w:rPr>
        <w:rFonts w:ascii="Symbol" w:hAnsi="Symbol" w:hint="default"/>
      </w:rPr>
    </w:lvl>
    <w:lvl w:ilvl="7" w:tplc="04050003" w:tentative="1">
      <w:start w:val="1"/>
      <w:numFmt w:val="bullet"/>
      <w:lvlText w:val="o"/>
      <w:lvlJc w:val="left"/>
      <w:pPr>
        <w:ind w:left="13179" w:hanging="360"/>
      </w:pPr>
      <w:rPr>
        <w:rFonts w:ascii="Courier New" w:hAnsi="Courier New" w:cs="Courier New" w:hint="default"/>
      </w:rPr>
    </w:lvl>
    <w:lvl w:ilvl="8" w:tplc="04050005" w:tentative="1">
      <w:start w:val="1"/>
      <w:numFmt w:val="bullet"/>
      <w:lvlText w:val=""/>
      <w:lvlJc w:val="left"/>
      <w:pPr>
        <w:ind w:left="13899" w:hanging="360"/>
      </w:pPr>
      <w:rPr>
        <w:rFonts w:ascii="Wingdings" w:hAnsi="Wingdings" w:hint="default"/>
      </w:rPr>
    </w:lvl>
  </w:abstractNum>
  <w:abstractNum w:abstractNumId="17" w15:restartNumberingAfterBreak="0">
    <w:nsid w:val="2DDD35B1"/>
    <w:multiLevelType w:val="hybridMultilevel"/>
    <w:tmpl w:val="A6B4F896"/>
    <w:lvl w:ilvl="0" w:tplc="B1C2EB3A">
      <w:numFmt w:val="bullet"/>
      <w:lvlText w:val=""/>
      <w:lvlJc w:val="left"/>
      <w:pPr>
        <w:ind w:left="1080" w:hanging="360"/>
      </w:pPr>
      <w:rPr>
        <w:rFonts w:ascii="Wingdings" w:eastAsiaTheme="minorHAnsi" w:hAnsi="Wingdings"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2E0243A4"/>
    <w:multiLevelType w:val="hybridMultilevel"/>
    <w:tmpl w:val="482AF9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DC148D9"/>
    <w:multiLevelType w:val="hybridMultilevel"/>
    <w:tmpl w:val="EF0E912C"/>
    <w:lvl w:ilvl="0" w:tplc="D2C0B15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172973"/>
    <w:multiLevelType w:val="multilevel"/>
    <w:tmpl w:val="428A06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B7433A"/>
    <w:multiLevelType w:val="hybridMultilevel"/>
    <w:tmpl w:val="7E5644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F249BC"/>
    <w:multiLevelType w:val="hybridMultilevel"/>
    <w:tmpl w:val="DE10BEE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2303FB"/>
    <w:multiLevelType w:val="multilevel"/>
    <w:tmpl w:val="40F43B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6F0194"/>
    <w:multiLevelType w:val="multilevel"/>
    <w:tmpl w:val="32EE37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E6BA3"/>
    <w:multiLevelType w:val="hybridMultilevel"/>
    <w:tmpl w:val="5832DB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9246D9"/>
    <w:multiLevelType w:val="multilevel"/>
    <w:tmpl w:val="DDEC42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034424"/>
    <w:multiLevelType w:val="hybridMultilevel"/>
    <w:tmpl w:val="EF0E912C"/>
    <w:lvl w:ilvl="0" w:tplc="D2C0B15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5613FA"/>
    <w:multiLevelType w:val="multilevel"/>
    <w:tmpl w:val="671613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2DD3BE6"/>
    <w:multiLevelType w:val="hybridMultilevel"/>
    <w:tmpl w:val="723497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3C33958"/>
    <w:multiLevelType w:val="hybridMultilevel"/>
    <w:tmpl w:val="5E2887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71F0E80"/>
    <w:multiLevelType w:val="multilevel"/>
    <w:tmpl w:val="469EB1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F33300"/>
    <w:multiLevelType w:val="multilevel"/>
    <w:tmpl w:val="5C3CE2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6E05BC"/>
    <w:multiLevelType w:val="hybridMultilevel"/>
    <w:tmpl w:val="3D7E90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8F1AFC"/>
    <w:multiLevelType w:val="hybridMultilevel"/>
    <w:tmpl w:val="DB5261A6"/>
    <w:lvl w:ilvl="0" w:tplc="B6C658F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C240E4"/>
    <w:multiLevelType w:val="hybridMultilevel"/>
    <w:tmpl w:val="EF0E912C"/>
    <w:lvl w:ilvl="0" w:tplc="D2C0B15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A6447B"/>
    <w:multiLevelType w:val="multilevel"/>
    <w:tmpl w:val="9D6A8DA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7" w15:restartNumberingAfterBreak="0">
    <w:nsid w:val="68C815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732DB4"/>
    <w:multiLevelType w:val="hybridMultilevel"/>
    <w:tmpl w:val="E6863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3D91E75"/>
    <w:multiLevelType w:val="hybridMultilevel"/>
    <w:tmpl w:val="EF0E912C"/>
    <w:lvl w:ilvl="0" w:tplc="D2C0B15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8C449A0"/>
    <w:multiLevelType w:val="hybridMultilevel"/>
    <w:tmpl w:val="AAE459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A4F7A67"/>
    <w:multiLevelType w:val="multilevel"/>
    <w:tmpl w:val="FB5EFE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3"/>
  </w:num>
  <w:num w:numId="3">
    <w:abstractNumId w:val="17"/>
  </w:num>
  <w:num w:numId="4">
    <w:abstractNumId w:val="40"/>
  </w:num>
  <w:num w:numId="5">
    <w:abstractNumId w:val="4"/>
  </w:num>
  <w:num w:numId="6">
    <w:abstractNumId w:val="35"/>
  </w:num>
  <w:num w:numId="7">
    <w:abstractNumId w:val="5"/>
  </w:num>
  <w:num w:numId="8">
    <w:abstractNumId w:val="34"/>
  </w:num>
  <w:num w:numId="9">
    <w:abstractNumId w:val="19"/>
  </w:num>
  <w:num w:numId="10">
    <w:abstractNumId w:val="33"/>
  </w:num>
  <w:num w:numId="11">
    <w:abstractNumId w:val="39"/>
  </w:num>
  <w:num w:numId="12">
    <w:abstractNumId w:val="6"/>
  </w:num>
  <w:num w:numId="13">
    <w:abstractNumId w:val="27"/>
  </w:num>
  <w:num w:numId="14">
    <w:abstractNumId w:val="1"/>
  </w:num>
  <w:num w:numId="15">
    <w:abstractNumId w:val="9"/>
  </w:num>
  <w:num w:numId="16">
    <w:abstractNumId w:val="38"/>
  </w:num>
  <w:num w:numId="17">
    <w:abstractNumId w:val="25"/>
  </w:num>
  <w:num w:numId="18">
    <w:abstractNumId w:val="8"/>
  </w:num>
  <w:num w:numId="19">
    <w:abstractNumId w:val="14"/>
  </w:num>
  <w:num w:numId="20">
    <w:abstractNumId w:val="21"/>
  </w:num>
  <w:num w:numId="21">
    <w:abstractNumId w:val="22"/>
  </w:num>
  <w:num w:numId="22">
    <w:abstractNumId w:val="16"/>
  </w:num>
  <w:num w:numId="23">
    <w:abstractNumId w:val="2"/>
  </w:num>
  <w:num w:numId="24">
    <w:abstractNumId w:val="29"/>
  </w:num>
  <w:num w:numId="25">
    <w:abstractNumId w:val="7"/>
  </w:num>
  <w:num w:numId="26">
    <w:abstractNumId w:val="12"/>
  </w:num>
  <w:num w:numId="27">
    <w:abstractNumId w:val="23"/>
  </w:num>
  <w:num w:numId="28">
    <w:abstractNumId w:val="28"/>
  </w:num>
  <w:num w:numId="29">
    <w:abstractNumId w:val="20"/>
  </w:num>
  <w:num w:numId="30">
    <w:abstractNumId w:val="0"/>
  </w:num>
  <w:num w:numId="31">
    <w:abstractNumId w:val="3"/>
  </w:num>
  <w:num w:numId="32">
    <w:abstractNumId w:val="18"/>
  </w:num>
  <w:num w:numId="33">
    <w:abstractNumId w:val="15"/>
  </w:num>
  <w:num w:numId="34">
    <w:abstractNumId w:val="31"/>
  </w:num>
  <w:num w:numId="35">
    <w:abstractNumId w:val="26"/>
  </w:num>
  <w:num w:numId="36">
    <w:abstractNumId w:val="24"/>
  </w:num>
  <w:num w:numId="37">
    <w:abstractNumId w:val="32"/>
  </w:num>
  <w:num w:numId="38">
    <w:abstractNumId w:val="10"/>
  </w:num>
  <w:num w:numId="39">
    <w:abstractNumId w:val="41"/>
  </w:num>
  <w:num w:numId="40">
    <w:abstractNumId w:val="37"/>
  </w:num>
  <w:num w:numId="41">
    <w:abstractNumId w:val="36"/>
  </w:num>
  <w:num w:numId="42">
    <w:abstractNumId w:val="36"/>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EA1"/>
    <w:rsid w:val="000015BA"/>
    <w:rsid w:val="00002867"/>
    <w:rsid w:val="00007D69"/>
    <w:rsid w:val="00011CF1"/>
    <w:rsid w:val="000233DE"/>
    <w:rsid w:val="00024C49"/>
    <w:rsid w:val="0004739D"/>
    <w:rsid w:val="000510E9"/>
    <w:rsid w:val="00060984"/>
    <w:rsid w:val="00070615"/>
    <w:rsid w:val="00085584"/>
    <w:rsid w:val="00086CD5"/>
    <w:rsid w:val="0009536D"/>
    <w:rsid w:val="000A0809"/>
    <w:rsid w:val="000A08BB"/>
    <w:rsid w:val="000A3399"/>
    <w:rsid w:val="000B1B61"/>
    <w:rsid w:val="000B62C8"/>
    <w:rsid w:val="000C0C38"/>
    <w:rsid w:val="000D7725"/>
    <w:rsid w:val="000D7B4F"/>
    <w:rsid w:val="000F54F3"/>
    <w:rsid w:val="000F6030"/>
    <w:rsid w:val="00102092"/>
    <w:rsid w:val="00104395"/>
    <w:rsid w:val="00120CD3"/>
    <w:rsid w:val="001223F6"/>
    <w:rsid w:val="00137717"/>
    <w:rsid w:val="00145B52"/>
    <w:rsid w:val="00152AA5"/>
    <w:rsid w:val="0015338B"/>
    <w:rsid w:val="00171D26"/>
    <w:rsid w:val="001727E2"/>
    <w:rsid w:val="00175690"/>
    <w:rsid w:val="0017741A"/>
    <w:rsid w:val="00184C8B"/>
    <w:rsid w:val="00186CCF"/>
    <w:rsid w:val="001904EA"/>
    <w:rsid w:val="001A7AB0"/>
    <w:rsid w:val="001B5609"/>
    <w:rsid w:val="001C3671"/>
    <w:rsid w:val="001E1658"/>
    <w:rsid w:val="001E1F49"/>
    <w:rsid w:val="001E4BC4"/>
    <w:rsid w:val="001E7FB7"/>
    <w:rsid w:val="001F57A8"/>
    <w:rsid w:val="00200EA1"/>
    <w:rsid w:val="002053E0"/>
    <w:rsid w:val="00214118"/>
    <w:rsid w:val="00215AFC"/>
    <w:rsid w:val="002213D9"/>
    <w:rsid w:val="00235777"/>
    <w:rsid w:val="00255E4B"/>
    <w:rsid w:val="002606BF"/>
    <w:rsid w:val="00261E1A"/>
    <w:rsid w:val="00272FB9"/>
    <w:rsid w:val="00274CCA"/>
    <w:rsid w:val="002817B6"/>
    <w:rsid w:val="0029124C"/>
    <w:rsid w:val="00294551"/>
    <w:rsid w:val="00295A4A"/>
    <w:rsid w:val="002B54F3"/>
    <w:rsid w:val="002C0DAF"/>
    <w:rsid w:val="002D0AC2"/>
    <w:rsid w:val="002D1F54"/>
    <w:rsid w:val="002D7F3C"/>
    <w:rsid w:val="002E17A1"/>
    <w:rsid w:val="002E2DC1"/>
    <w:rsid w:val="00315269"/>
    <w:rsid w:val="0032296F"/>
    <w:rsid w:val="003234D9"/>
    <w:rsid w:val="00324B3C"/>
    <w:rsid w:val="00330574"/>
    <w:rsid w:val="003365AA"/>
    <w:rsid w:val="0034217B"/>
    <w:rsid w:val="00352590"/>
    <w:rsid w:val="0035294A"/>
    <w:rsid w:val="0035490C"/>
    <w:rsid w:val="00367715"/>
    <w:rsid w:val="00372593"/>
    <w:rsid w:val="00376FD7"/>
    <w:rsid w:val="003820AC"/>
    <w:rsid w:val="003A1549"/>
    <w:rsid w:val="003A4410"/>
    <w:rsid w:val="003D16FF"/>
    <w:rsid w:val="003E45F0"/>
    <w:rsid w:val="003E756E"/>
    <w:rsid w:val="003E783F"/>
    <w:rsid w:val="004168CE"/>
    <w:rsid w:val="00417799"/>
    <w:rsid w:val="00427DED"/>
    <w:rsid w:val="0044204D"/>
    <w:rsid w:val="00443C74"/>
    <w:rsid w:val="004454F9"/>
    <w:rsid w:val="004647ED"/>
    <w:rsid w:val="00482C07"/>
    <w:rsid w:val="00483E7C"/>
    <w:rsid w:val="00493475"/>
    <w:rsid w:val="004A0234"/>
    <w:rsid w:val="004A58D9"/>
    <w:rsid w:val="004A745D"/>
    <w:rsid w:val="004B1EB4"/>
    <w:rsid w:val="004C1C30"/>
    <w:rsid w:val="004D4201"/>
    <w:rsid w:val="004D4C93"/>
    <w:rsid w:val="004E0F3F"/>
    <w:rsid w:val="004E1116"/>
    <w:rsid w:val="004E50CC"/>
    <w:rsid w:val="004E5F9A"/>
    <w:rsid w:val="004E6886"/>
    <w:rsid w:val="004F719E"/>
    <w:rsid w:val="005001A3"/>
    <w:rsid w:val="005025A8"/>
    <w:rsid w:val="00513195"/>
    <w:rsid w:val="00517D82"/>
    <w:rsid w:val="00532130"/>
    <w:rsid w:val="005334C8"/>
    <w:rsid w:val="005374C6"/>
    <w:rsid w:val="00537BFF"/>
    <w:rsid w:val="00540927"/>
    <w:rsid w:val="005447D6"/>
    <w:rsid w:val="00547288"/>
    <w:rsid w:val="005521A6"/>
    <w:rsid w:val="00557646"/>
    <w:rsid w:val="005627BA"/>
    <w:rsid w:val="00565E93"/>
    <w:rsid w:val="0057224B"/>
    <w:rsid w:val="00592E69"/>
    <w:rsid w:val="00595B8D"/>
    <w:rsid w:val="005A5D8F"/>
    <w:rsid w:val="005A7A41"/>
    <w:rsid w:val="005B16CE"/>
    <w:rsid w:val="005C1173"/>
    <w:rsid w:val="005C334F"/>
    <w:rsid w:val="005D2479"/>
    <w:rsid w:val="005D55B5"/>
    <w:rsid w:val="005E0BDC"/>
    <w:rsid w:val="005E440D"/>
    <w:rsid w:val="005E481B"/>
    <w:rsid w:val="005F0C32"/>
    <w:rsid w:val="00601783"/>
    <w:rsid w:val="00604B38"/>
    <w:rsid w:val="00612042"/>
    <w:rsid w:val="00612C40"/>
    <w:rsid w:val="00620D46"/>
    <w:rsid w:val="00625A42"/>
    <w:rsid w:val="00630FEE"/>
    <w:rsid w:val="00640443"/>
    <w:rsid w:val="00671AA0"/>
    <w:rsid w:val="00672DAD"/>
    <w:rsid w:val="00676B9D"/>
    <w:rsid w:val="0069550A"/>
    <w:rsid w:val="006969A5"/>
    <w:rsid w:val="00696C31"/>
    <w:rsid w:val="006A3409"/>
    <w:rsid w:val="006A4492"/>
    <w:rsid w:val="006B466A"/>
    <w:rsid w:val="006D2A4B"/>
    <w:rsid w:val="006D62EF"/>
    <w:rsid w:val="006D6544"/>
    <w:rsid w:val="006E2323"/>
    <w:rsid w:val="006F0989"/>
    <w:rsid w:val="006F4A7A"/>
    <w:rsid w:val="006F6CD7"/>
    <w:rsid w:val="007075A8"/>
    <w:rsid w:val="007111D3"/>
    <w:rsid w:val="007117E7"/>
    <w:rsid w:val="007124C8"/>
    <w:rsid w:val="00717C95"/>
    <w:rsid w:val="00720A70"/>
    <w:rsid w:val="00734C47"/>
    <w:rsid w:val="007358BB"/>
    <w:rsid w:val="00736D14"/>
    <w:rsid w:val="00755154"/>
    <w:rsid w:val="00756DF6"/>
    <w:rsid w:val="00764411"/>
    <w:rsid w:val="007657EC"/>
    <w:rsid w:val="00783A0B"/>
    <w:rsid w:val="007A0101"/>
    <w:rsid w:val="007A72BC"/>
    <w:rsid w:val="007B281E"/>
    <w:rsid w:val="007B5832"/>
    <w:rsid w:val="007C50EE"/>
    <w:rsid w:val="007C711E"/>
    <w:rsid w:val="007D5D46"/>
    <w:rsid w:val="007D748B"/>
    <w:rsid w:val="007F36E9"/>
    <w:rsid w:val="007F46E7"/>
    <w:rsid w:val="00813F37"/>
    <w:rsid w:val="00816C6F"/>
    <w:rsid w:val="008220AC"/>
    <w:rsid w:val="00824B78"/>
    <w:rsid w:val="00836AA8"/>
    <w:rsid w:val="00837A76"/>
    <w:rsid w:val="008459E5"/>
    <w:rsid w:val="00853303"/>
    <w:rsid w:val="00853CFC"/>
    <w:rsid w:val="00867312"/>
    <w:rsid w:val="0086734B"/>
    <w:rsid w:val="00887FCF"/>
    <w:rsid w:val="00893D32"/>
    <w:rsid w:val="008A10A9"/>
    <w:rsid w:val="008C3DC6"/>
    <w:rsid w:val="008C40CF"/>
    <w:rsid w:val="008D1AF1"/>
    <w:rsid w:val="008D709C"/>
    <w:rsid w:val="008E53BD"/>
    <w:rsid w:val="008E6C63"/>
    <w:rsid w:val="008F5718"/>
    <w:rsid w:val="008F7FB5"/>
    <w:rsid w:val="00903A4E"/>
    <w:rsid w:val="0090463C"/>
    <w:rsid w:val="009230C9"/>
    <w:rsid w:val="009232D6"/>
    <w:rsid w:val="00933BE2"/>
    <w:rsid w:val="0094306F"/>
    <w:rsid w:val="009434F1"/>
    <w:rsid w:val="00962D0C"/>
    <w:rsid w:val="00964CA5"/>
    <w:rsid w:val="00966A8B"/>
    <w:rsid w:val="00990292"/>
    <w:rsid w:val="00990EDB"/>
    <w:rsid w:val="009A0025"/>
    <w:rsid w:val="009A36F6"/>
    <w:rsid w:val="009A5C4F"/>
    <w:rsid w:val="009B284F"/>
    <w:rsid w:val="009B5B7C"/>
    <w:rsid w:val="009B72E9"/>
    <w:rsid w:val="009C2529"/>
    <w:rsid w:val="009C6790"/>
    <w:rsid w:val="009D11DF"/>
    <w:rsid w:val="009D1C47"/>
    <w:rsid w:val="009D4699"/>
    <w:rsid w:val="009D574D"/>
    <w:rsid w:val="009D5D16"/>
    <w:rsid w:val="009D634E"/>
    <w:rsid w:val="009D7689"/>
    <w:rsid w:val="009E43A3"/>
    <w:rsid w:val="009E65D5"/>
    <w:rsid w:val="009F15F3"/>
    <w:rsid w:val="009F77E1"/>
    <w:rsid w:val="00A3622B"/>
    <w:rsid w:val="00A408E9"/>
    <w:rsid w:val="00A42149"/>
    <w:rsid w:val="00A432C3"/>
    <w:rsid w:val="00A44C67"/>
    <w:rsid w:val="00A564D5"/>
    <w:rsid w:val="00A80919"/>
    <w:rsid w:val="00A815AD"/>
    <w:rsid w:val="00A83AE2"/>
    <w:rsid w:val="00A91E9B"/>
    <w:rsid w:val="00A928F0"/>
    <w:rsid w:val="00AA0B63"/>
    <w:rsid w:val="00AA108D"/>
    <w:rsid w:val="00AB0DB0"/>
    <w:rsid w:val="00AB3971"/>
    <w:rsid w:val="00AB5694"/>
    <w:rsid w:val="00AB6B04"/>
    <w:rsid w:val="00AC5D9C"/>
    <w:rsid w:val="00AD3162"/>
    <w:rsid w:val="00AD5926"/>
    <w:rsid w:val="00AE60A8"/>
    <w:rsid w:val="00AF38AA"/>
    <w:rsid w:val="00B16B5E"/>
    <w:rsid w:val="00B215D5"/>
    <w:rsid w:val="00B2266A"/>
    <w:rsid w:val="00B24C65"/>
    <w:rsid w:val="00B26B1E"/>
    <w:rsid w:val="00B3180F"/>
    <w:rsid w:val="00B362E9"/>
    <w:rsid w:val="00B37974"/>
    <w:rsid w:val="00B44B99"/>
    <w:rsid w:val="00B52BE5"/>
    <w:rsid w:val="00B5462A"/>
    <w:rsid w:val="00B62644"/>
    <w:rsid w:val="00B70E19"/>
    <w:rsid w:val="00B82A18"/>
    <w:rsid w:val="00B82B8E"/>
    <w:rsid w:val="00B843BF"/>
    <w:rsid w:val="00B900BD"/>
    <w:rsid w:val="00BA0F13"/>
    <w:rsid w:val="00BB4CD2"/>
    <w:rsid w:val="00BB4D12"/>
    <w:rsid w:val="00BB71DB"/>
    <w:rsid w:val="00BC0789"/>
    <w:rsid w:val="00BC07D6"/>
    <w:rsid w:val="00BD0DD5"/>
    <w:rsid w:val="00BD1CE6"/>
    <w:rsid w:val="00BD23F2"/>
    <w:rsid w:val="00BD5148"/>
    <w:rsid w:val="00BD52CF"/>
    <w:rsid w:val="00BD5D8E"/>
    <w:rsid w:val="00BF0211"/>
    <w:rsid w:val="00C13EDC"/>
    <w:rsid w:val="00C215EC"/>
    <w:rsid w:val="00C242E2"/>
    <w:rsid w:val="00C2726D"/>
    <w:rsid w:val="00C360DE"/>
    <w:rsid w:val="00C3621E"/>
    <w:rsid w:val="00C4777A"/>
    <w:rsid w:val="00C50F5E"/>
    <w:rsid w:val="00C660B6"/>
    <w:rsid w:val="00C673D7"/>
    <w:rsid w:val="00C7036E"/>
    <w:rsid w:val="00C7470D"/>
    <w:rsid w:val="00C871DB"/>
    <w:rsid w:val="00C87906"/>
    <w:rsid w:val="00C93C7A"/>
    <w:rsid w:val="00C943E9"/>
    <w:rsid w:val="00C97C8C"/>
    <w:rsid w:val="00CA20AC"/>
    <w:rsid w:val="00CA2A8C"/>
    <w:rsid w:val="00CA3357"/>
    <w:rsid w:val="00CB1614"/>
    <w:rsid w:val="00CC319D"/>
    <w:rsid w:val="00CC7F12"/>
    <w:rsid w:val="00CD7B94"/>
    <w:rsid w:val="00CE4683"/>
    <w:rsid w:val="00CE63F0"/>
    <w:rsid w:val="00CE7556"/>
    <w:rsid w:val="00CF0D9F"/>
    <w:rsid w:val="00D00028"/>
    <w:rsid w:val="00D010B4"/>
    <w:rsid w:val="00D02625"/>
    <w:rsid w:val="00D05565"/>
    <w:rsid w:val="00D16015"/>
    <w:rsid w:val="00D17A57"/>
    <w:rsid w:val="00D2033B"/>
    <w:rsid w:val="00D33FC4"/>
    <w:rsid w:val="00D426CF"/>
    <w:rsid w:val="00D6272D"/>
    <w:rsid w:val="00D64C24"/>
    <w:rsid w:val="00D65015"/>
    <w:rsid w:val="00D657A2"/>
    <w:rsid w:val="00D677A2"/>
    <w:rsid w:val="00D7724A"/>
    <w:rsid w:val="00D91E45"/>
    <w:rsid w:val="00D91FAB"/>
    <w:rsid w:val="00D93183"/>
    <w:rsid w:val="00D931C7"/>
    <w:rsid w:val="00DB1899"/>
    <w:rsid w:val="00DD7ABA"/>
    <w:rsid w:val="00DE27B1"/>
    <w:rsid w:val="00DE392D"/>
    <w:rsid w:val="00DF1EAB"/>
    <w:rsid w:val="00DF48E6"/>
    <w:rsid w:val="00E03CA6"/>
    <w:rsid w:val="00E07A6F"/>
    <w:rsid w:val="00E131E2"/>
    <w:rsid w:val="00E246C7"/>
    <w:rsid w:val="00E32DB1"/>
    <w:rsid w:val="00E36839"/>
    <w:rsid w:val="00E410E2"/>
    <w:rsid w:val="00E47AE9"/>
    <w:rsid w:val="00E47C2B"/>
    <w:rsid w:val="00E527F0"/>
    <w:rsid w:val="00E560BE"/>
    <w:rsid w:val="00E618BF"/>
    <w:rsid w:val="00E8393E"/>
    <w:rsid w:val="00E958ED"/>
    <w:rsid w:val="00E9722F"/>
    <w:rsid w:val="00EB2696"/>
    <w:rsid w:val="00EB34FC"/>
    <w:rsid w:val="00EB3FEA"/>
    <w:rsid w:val="00EB4C8F"/>
    <w:rsid w:val="00EB7E67"/>
    <w:rsid w:val="00EC069E"/>
    <w:rsid w:val="00EE31EF"/>
    <w:rsid w:val="00EE559A"/>
    <w:rsid w:val="00EE6CBF"/>
    <w:rsid w:val="00F02B06"/>
    <w:rsid w:val="00F04775"/>
    <w:rsid w:val="00F1073F"/>
    <w:rsid w:val="00F10868"/>
    <w:rsid w:val="00F14AD5"/>
    <w:rsid w:val="00F22981"/>
    <w:rsid w:val="00F23D30"/>
    <w:rsid w:val="00F243BF"/>
    <w:rsid w:val="00F2521D"/>
    <w:rsid w:val="00F26286"/>
    <w:rsid w:val="00F27888"/>
    <w:rsid w:val="00F416F9"/>
    <w:rsid w:val="00F42DBD"/>
    <w:rsid w:val="00F4388C"/>
    <w:rsid w:val="00F47093"/>
    <w:rsid w:val="00F54728"/>
    <w:rsid w:val="00F54940"/>
    <w:rsid w:val="00F60472"/>
    <w:rsid w:val="00F653F9"/>
    <w:rsid w:val="00F6613E"/>
    <w:rsid w:val="00F71EFA"/>
    <w:rsid w:val="00F73712"/>
    <w:rsid w:val="00F73A28"/>
    <w:rsid w:val="00F81051"/>
    <w:rsid w:val="00F829E3"/>
    <w:rsid w:val="00F837FC"/>
    <w:rsid w:val="00F87323"/>
    <w:rsid w:val="00F90602"/>
    <w:rsid w:val="00FA1BB0"/>
    <w:rsid w:val="00FA378F"/>
    <w:rsid w:val="00FA4DAB"/>
    <w:rsid w:val="00FB3729"/>
    <w:rsid w:val="00FC02A2"/>
    <w:rsid w:val="00FC0D8E"/>
    <w:rsid w:val="00FC0F32"/>
    <w:rsid w:val="00FC26AB"/>
    <w:rsid w:val="00FC2CEE"/>
    <w:rsid w:val="00FD5FC0"/>
    <w:rsid w:val="00FF27D4"/>
    <w:rsid w:val="00FF51C5"/>
    <w:rsid w:val="58D0F63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2E26B"/>
  <w15:docId w15:val="{378F9BD6-A572-4208-92AF-784929C5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lang w:val="cs-CZ"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0A70"/>
    <w:rPr>
      <w:noProof/>
    </w:rPr>
  </w:style>
  <w:style w:type="paragraph" w:styleId="Nadpis1">
    <w:name w:val="heading 1"/>
    <w:basedOn w:val="Normln"/>
    <w:next w:val="Normln"/>
    <w:link w:val="Nadpis1Char"/>
    <w:autoRedefine/>
    <w:uiPriority w:val="9"/>
    <w:qFormat/>
    <w:rsid w:val="007124C8"/>
    <w:pPr>
      <w:keepNext/>
      <w:keepLines/>
      <w:numPr>
        <w:numId w:val="41"/>
      </w:numPr>
      <w:spacing w:before="240" w:line="240" w:lineRule="auto"/>
      <w:outlineLvl w:val="0"/>
    </w:pPr>
    <w:rPr>
      <w:rFonts w:eastAsiaTheme="majorEastAsia" w:cstheme="minorHAnsi"/>
      <w:b/>
      <w:bCs/>
      <w:sz w:val="32"/>
      <w:szCs w:val="28"/>
    </w:rPr>
  </w:style>
  <w:style w:type="paragraph" w:styleId="Nadpis2">
    <w:name w:val="heading 2"/>
    <w:basedOn w:val="Normln"/>
    <w:next w:val="Normln"/>
    <w:link w:val="Nadpis2Char"/>
    <w:autoRedefine/>
    <w:uiPriority w:val="9"/>
    <w:unhideWhenUsed/>
    <w:qFormat/>
    <w:rsid w:val="008220AC"/>
    <w:pPr>
      <w:keepNext/>
      <w:keepLines/>
      <w:numPr>
        <w:ilvl w:val="1"/>
        <w:numId w:val="41"/>
      </w:numPr>
      <w:spacing w:before="200"/>
      <w:ind w:left="851" w:hanging="851"/>
      <w:outlineLvl w:val="1"/>
    </w:pPr>
    <w:rPr>
      <w:rFonts w:eastAsiaTheme="majorEastAsia" w:cstheme="majorBidi"/>
      <w:b/>
      <w:bCs/>
      <w:sz w:val="32"/>
      <w:szCs w:val="32"/>
    </w:rPr>
  </w:style>
  <w:style w:type="paragraph" w:styleId="Nadpis3">
    <w:name w:val="heading 3"/>
    <w:basedOn w:val="Normln"/>
    <w:next w:val="Normln"/>
    <w:link w:val="Nadpis3Char"/>
    <w:uiPriority w:val="9"/>
    <w:unhideWhenUsed/>
    <w:qFormat/>
    <w:rsid w:val="00F2521D"/>
    <w:pPr>
      <w:keepNext/>
      <w:keepLines/>
      <w:numPr>
        <w:ilvl w:val="2"/>
        <w:numId w:val="41"/>
      </w:numPr>
      <w:spacing w:before="200"/>
      <w:outlineLvl w:val="2"/>
    </w:pPr>
    <w:rPr>
      <w:rFonts w:eastAsiaTheme="majorEastAsia" w:cstheme="majorBidi"/>
      <w:b/>
      <w:bCs/>
      <w:sz w:val="32"/>
    </w:rPr>
  </w:style>
  <w:style w:type="paragraph" w:styleId="Nadpis4">
    <w:name w:val="heading 4"/>
    <w:basedOn w:val="Normln"/>
    <w:next w:val="Normln"/>
    <w:link w:val="Nadpis4Char"/>
    <w:uiPriority w:val="9"/>
    <w:semiHidden/>
    <w:unhideWhenUsed/>
    <w:qFormat/>
    <w:rsid w:val="00D16015"/>
    <w:pPr>
      <w:keepNext/>
      <w:keepLines/>
      <w:numPr>
        <w:ilvl w:val="3"/>
        <w:numId w:val="41"/>
      </w:numPr>
      <w:spacing w:before="200"/>
      <w:outlineLvl w:val="3"/>
    </w:pPr>
    <w:rPr>
      <w:rFonts w:asciiTheme="majorHAnsi" w:eastAsiaTheme="majorEastAsia" w:hAnsiTheme="majorHAnsi" w:cstheme="majorBidi"/>
      <w:b/>
      <w:bCs/>
      <w:iCs/>
    </w:rPr>
  </w:style>
  <w:style w:type="paragraph" w:styleId="Nadpis5">
    <w:name w:val="heading 5"/>
    <w:basedOn w:val="Normln"/>
    <w:next w:val="Normln"/>
    <w:link w:val="Nadpis5Char"/>
    <w:uiPriority w:val="9"/>
    <w:semiHidden/>
    <w:unhideWhenUsed/>
    <w:qFormat/>
    <w:rsid w:val="008220AC"/>
    <w:pPr>
      <w:keepNext/>
      <w:keepLines/>
      <w:numPr>
        <w:ilvl w:val="4"/>
        <w:numId w:val="4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8220AC"/>
    <w:pPr>
      <w:keepNext/>
      <w:keepLines/>
      <w:numPr>
        <w:ilvl w:val="5"/>
        <w:numId w:val="4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8220AC"/>
    <w:pPr>
      <w:keepNext/>
      <w:keepLines/>
      <w:numPr>
        <w:ilvl w:val="6"/>
        <w:numId w:val="4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8220AC"/>
    <w:pPr>
      <w:keepNext/>
      <w:keepLines/>
      <w:numPr>
        <w:ilvl w:val="7"/>
        <w:numId w:val="41"/>
      </w:numPr>
      <w:spacing w:before="200"/>
      <w:outlineLvl w:val="7"/>
    </w:pPr>
    <w:rPr>
      <w:rFonts w:asciiTheme="majorHAnsi" w:eastAsiaTheme="majorEastAsia" w:hAnsiTheme="majorHAnsi" w:cstheme="majorBidi"/>
      <w:color w:val="404040" w:themeColor="text1" w:themeTint="BF"/>
      <w:sz w:val="20"/>
    </w:rPr>
  </w:style>
  <w:style w:type="paragraph" w:styleId="Nadpis9">
    <w:name w:val="heading 9"/>
    <w:basedOn w:val="Normln"/>
    <w:next w:val="Normln"/>
    <w:link w:val="Nadpis9Char"/>
    <w:uiPriority w:val="9"/>
    <w:semiHidden/>
    <w:unhideWhenUsed/>
    <w:qFormat/>
    <w:rsid w:val="008220AC"/>
    <w:pPr>
      <w:keepNext/>
      <w:keepLines/>
      <w:numPr>
        <w:ilvl w:val="8"/>
        <w:numId w:val="4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124C8"/>
    <w:rPr>
      <w:rFonts w:eastAsiaTheme="majorEastAsia" w:cstheme="minorHAnsi"/>
      <w:b/>
      <w:bCs/>
      <w:noProof/>
      <w:sz w:val="32"/>
      <w:szCs w:val="28"/>
    </w:rPr>
  </w:style>
  <w:style w:type="character" w:customStyle="1" w:styleId="Nadpis2Char">
    <w:name w:val="Nadpis 2 Char"/>
    <w:basedOn w:val="Standardnpsmoodstavce"/>
    <w:link w:val="Nadpis2"/>
    <w:uiPriority w:val="9"/>
    <w:rsid w:val="008220AC"/>
    <w:rPr>
      <w:rFonts w:eastAsiaTheme="majorEastAsia" w:cstheme="majorBidi"/>
      <w:b/>
      <w:bCs/>
      <w:noProof/>
      <w:sz w:val="32"/>
      <w:szCs w:val="32"/>
    </w:rPr>
  </w:style>
  <w:style w:type="character" w:customStyle="1" w:styleId="Nadpis3Char">
    <w:name w:val="Nadpis 3 Char"/>
    <w:basedOn w:val="Standardnpsmoodstavce"/>
    <w:link w:val="Nadpis3"/>
    <w:uiPriority w:val="9"/>
    <w:rsid w:val="00F2521D"/>
    <w:rPr>
      <w:rFonts w:eastAsiaTheme="majorEastAsia" w:cstheme="majorBidi"/>
      <w:b/>
      <w:bCs/>
      <w:noProof/>
      <w:sz w:val="32"/>
    </w:rPr>
  </w:style>
  <w:style w:type="character" w:customStyle="1" w:styleId="Nadpis4Char">
    <w:name w:val="Nadpis 4 Char"/>
    <w:basedOn w:val="Standardnpsmoodstavce"/>
    <w:link w:val="Nadpis4"/>
    <w:uiPriority w:val="9"/>
    <w:semiHidden/>
    <w:rsid w:val="00D16015"/>
    <w:rPr>
      <w:rFonts w:asciiTheme="majorHAnsi" w:eastAsiaTheme="majorEastAsia" w:hAnsiTheme="majorHAnsi" w:cstheme="majorBidi"/>
      <w:b/>
      <w:bCs/>
      <w:iCs/>
      <w:noProof/>
    </w:rPr>
  </w:style>
  <w:style w:type="paragraph" w:styleId="Odstavecseseznamem">
    <w:name w:val="List Paragraph"/>
    <w:basedOn w:val="Normln"/>
    <w:uiPriority w:val="34"/>
    <w:qFormat/>
    <w:rsid w:val="006D2A4B"/>
    <w:pPr>
      <w:ind w:left="720"/>
      <w:contextualSpacing/>
    </w:pPr>
    <w:rPr>
      <w:noProof w:val="0"/>
    </w:rPr>
  </w:style>
  <w:style w:type="table" w:styleId="Mkatabulky">
    <w:name w:val="Table Grid"/>
    <w:basedOn w:val="Normlntabulka"/>
    <w:uiPriority w:val="59"/>
    <w:rsid w:val="005321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11">
    <w:name w:val="Tabulka s mřížkou 4 – zvýraznění 11"/>
    <w:basedOn w:val="Normlntabulka"/>
    <w:uiPriority w:val="49"/>
    <w:rsid w:val="0009536D"/>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poznpodarou">
    <w:name w:val="footnote text"/>
    <w:basedOn w:val="Normln"/>
    <w:link w:val="TextpoznpodarouChar"/>
    <w:semiHidden/>
    <w:unhideWhenUsed/>
    <w:rsid w:val="005F0C32"/>
    <w:pPr>
      <w:spacing w:line="240" w:lineRule="auto"/>
    </w:pPr>
    <w:rPr>
      <w:sz w:val="20"/>
    </w:rPr>
  </w:style>
  <w:style w:type="character" w:customStyle="1" w:styleId="TextpoznpodarouChar">
    <w:name w:val="Text pozn. pod čarou Char"/>
    <w:basedOn w:val="Standardnpsmoodstavce"/>
    <w:link w:val="Textpoznpodarou"/>
    <w:semiHidden/>
    <w:rsid w:val="005F0C32"/>
    <w:rPr>
      <w:noProof/>
      <w:sz w:val="20"/>
    </w:rPr>
  </w:style>
  <w:style w:type="character" w:styleId="Znakapoznpodarou">
    <w:name w:val="footnote reference"/>
    <w:basedOn w:val="Standardnpsmoodstavce"/>
    <w:semiHidden/>
    <w:unhideWhenUsed/>
    <w:rsid w:val="005F0C32"/>
    <w:rPr>
      <w:vertAlign w:val="superscript"/>
    </w:rPr>
  </w:style>
  <w:style w:type="table" w:customStyle="1" w:styleId="Tabulkaseznamu4zvraznn11">
    <w:name w:val="Tabulka seznamu 4 – zvýraznění 11"/>
    <w:basedOn w:val="Normlntabulka"/>
    <w:uiPriority w:val="49"/>
    <w:rsid w:val="005F0C3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Zhlav">
    <w:name w:val="header"/>
    <w:basedOn w:val="Normln"/>
    <w:link w:val="ZhlavChar"/>
    <w:uiPriority w:val="99"/>
    <w:unhideWhenUsed/>
    <w:rsid w:val="00145B52"/>
    <w:pPr>
      <w:tabs>
        <w:tab w:val="center" w:pos="4536"/>
        <w:tab w:val="right" w:pos="9072"/>
      </w:tabs>
      <w:spacing w:line="240" w:lineRule="auto"/>
    </w:pPr>
  </w:style>
  <w:style w:type="character" w:customStyle="1" w:styleId="ZhlavChar">
    <w:name w:val="Záhlaví Char"/>
    <w:basedOn w:val="Standardnpsmoodstavce"/>
    <w:link w:val="Zhlav"/>
    <w:uiPriority w:val="99"/>
    <w:rsid w:val="00145B52"/>
    <w:rPr>
      <w:noProof/>
    </w:rPr>
  </w:style>
  <w:style w:type="paragraph" w:styleId="Zpat">
    <w:name w:val="footer"/>
    <w:basedOn w:val="Normln"/>
    <w:link w:val="ZpatChar"/>
    <w:uiPriority w:val="99"/>
    <w:unhideWhenUsed/>
    <w:rsid w:val="00145B52"/>
    <w:pPr>
      <w:tabs>
        <w:tab w:val="center" w:pos="4536"/>
        <w:tab w:val="right" w:pos="9072"/>
      </w:tabs>
      <w:spacing w:line="240" w:lineRule="auto"/>
    </w:pPr>
  </w:style>
  <w:style w:type="character" w:customStyle="1" w:styleId="ZpatChar">
    <w:name w:val="Zápatí Char"/>
    <w:basedOn w:val="Standardnpsmoodstavce"/>
    <w:link w:val="Zpat"/>
    <w:uiPriority w:val="99"/>
    <w:rsid w:val="00145B52"/>
    <w:rPr>
      <w:noProof/>
    </w:rPr>
  </w:style>
  <w:style w:type="paragraph" w:styleId="Textbubliny">
    <w:name w:val="Balloon Text"/>
    <w:basedOn w:val="Normln"/>
    <w:link w:val="TextbublinyChar"/>
    <w:uiPriority w:val="99"/>
    <w:semiHidden/>
    <w:unhideWhenUsed/>
    <w:rsid w:val="00C673D7"/>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73D7"/>
    <w:rPr>
      <w:rFonts w:ascii="Segoe UI" w:hAnsi="Segoe UI" w:cs="Segoe UI"/>
      <w:noProof/>
      <w:sz w:val="18"/>
      <w:szCs w:val="18"/>
    </w:rPr>
  </w:style>
  <w:style w:type="character" w:styleId="Hypertextovodkaz">
    <w:name w:val="Hyperlink"/>
    <w:basedOn w:val="Standardnpsmoodstavce"/>
    <w:unhideWhenUsed/>
    <w:rsid w:val="00966A8B"/>
    <w:rPr>
      <w:color w:val="0000FF" w:themeColor="hyperlink"/>
      <w:u w:val="single"/>
    </w:rPr>
  </w:style>
  <w:style w:type="paragraph" w:styleId="Nadpisobsahu">
    <w:name w:val="TOC Heading"/>
    <w:basedOn w:val="Nadpis1"/>
    <w:next w:val="Normln"/>
    <w:uiPriority w:val="39"/>
    <w:unhideWhenUsed/>
    <w:qFormat/>
    <w:rsid w:val="00E47C2B"/>
    <w:pPr>
      <w:spacing w:line="259" w:lineRule="auto"/>
      <w:jc w:val="left"/>
      <w:outlineLvl w:val="9"/>
    </w:pPr>
    <w:rPr>
      <w:rFonts w:asciiTheme="majorHAnsi" w:hAnsiTheme="majorHAnsi"/>
      <w:b w:val="0"/>
      <w:bCs w:val="0"/>
      <w:noProof w:val="0"/>
      <w:color w:val="365F91" w:themeColor="accent1" w:themeShade="BF"/>
      <w:szCs w:val="32"/>
      <w:lang w:eastAsia="cs-CZ"/>
    </w:rPr>
  </w:style>
  <w:style w:type="paragraph" w:styleId="Obsah1">
    <w:name w:val="toc 1"/>
    <w:basedOn w:val="Normln"/>
    <w:next w:val="Normln"/>
    <w:autoRedefine/>
    <w:uiPriority w:val="39"/>
    <w:unhideWhenUsed/>
    <w:rsid w:val="00E47C2B"/>
    <w:pPr>
      <w:spacing w:after="100"/>
    </w:pPr>
  </w:style>
  <w:style w:type="paragraph" w:styleId="Obsah2">
    <w:name w:val="toc 2"/>
    <w:basedOn w:val="Normln"/>
    <w:next w:val="Normln"/>
    <w:autoRedefine/>
    <w:uiPriority w:val="39"/>
    <w:unhideWhenUsed/>
    <w:rsid w:val="00AD5926"/>
    <w:pPr>
      <w:spacing w:after="100"/>
      <w:ind w:left="240"/>
    </w:pPr>
  </w:style>
  <w:style w:type="paragraph" w:styleId="Obsah3">
    <w:name w:val="toc 3"/>
    <w:basedOn w:val="Normln"/>
    <w:next w:val="Normln"/>
    <w:autoRedefine/>
    <w:uiPriority w:val="39"/>
    <w:unhideWhenUsed/>
    <w:rsid w:val="00B70E19"/>
    <w:pPr>
      <w:spacing w:after="100"/>
      <w:ind w:left="480"/>
    </w:pPr>
  </w:style>
  <w:style w:type="character" w:customStyle="1" w:styleId="Nadpis5Char">
    <w:name w:val="Nadpis 5 Char"/>
    <w:basedOn w:val="Standardnpsmoodstavce"/>
    <w:link w:val="Nadpis5"/>
    <w:uiPriority w:val="9"/>
    <w:semiHidden/>
    <w:rsid w:val="008220AC"/>
    <w:rPr>
      <w:rFonts w:asciiTheme="majorHAnsi" w:eastAsiaTheme="majorEastAsia" w:hAnsiTheme="majorHAnsi" w:cstheme="majorBidi"/>
      <w:noProof/>
      <w:color w:val="243F60" w:themeColor="accent1" w:themeShade="7F"/>
    </w:rPr>
  </w:style>
  <w:style w:type="character" w:customStyle="1" w:styleId="Nadpis6Char">
    <w:name w:val="Nadpis 6 Char"/>
    <w:basedOn w:val="Standardnpsmoodstavce"/>
    <w:link w:val="Nadpis6"/>
    <w:uiPriority w:val="9"/>
    <w:semiHidden/>
    <w:rsid w:val="008220AC"/>
    <w:rPr>
      <w:rFonts w:asciiTheme="majorHAnsi" w:eastAsiaTheme="majorEastAsia" w:hAnsiTheme="majorHAnsi" w:cstheme="majorBidi"/>
      <w:i/>
      <w:iCs/>
      <w:noProof/>
      <w:color w:val="243F60" w:themeColor="accent1" w:themeShade="7F"/>
    </w:rPr>
  </w:style>
  <w:style w:type="character" w:customStyle="1" w:styleId="Nadpis7Char">
    <w:name w:val="Nadpis 7 Char"/>
    <w:basedOn w:val="Standardnpsmoodstavce"/>
    <w:link w:val="Nadpis7"/>
    <w:uiPriority w:val="9"/>
    <w:semiHidden/>
    <w:rsid w:val="008220AC"/>
    <w:rPr>
      <w:rFonts w:asciiTheme="majorHAnsi" w:eastAsiaTheme="majorEastAsia" w:hAnsiTheme="majorHAnsi" w:cstheme="majorBidi"/>
      <w:i/>
      <w:iCs/>
      <w:noProof/>
      <w:color w:val="404040" w:themeColor="text1" w:themeTint="BF"/>
    </w:rPr>
  </w:style>
  <w:style w:type="character" w:customStyle="1" w:styleId="Nadpis8Char">
    <w:name w:val="Nadpis 8 Char"/>
    <w:basedOn w:val="Standardnpsmoodstavce"/>
    <w:link w:val="Nadpis8"/>
    <w:uiPriority w:val="9"/>
    <w:semiHidden/>
    <w:rsid w:val="008220AC"/>
    <w:rPr>
      <w:rFonts w:asciiTheme="majorHAnsi" w:eastAsiaTheme="majorEastAsia" w:hAnsiTheme="majorHAnsi" w:cstheme="majorBidi"/>
      <w:noProof/>
      <w:color w:val="404040" w:themeColor="text1" w:themeTint="BF"/>
      <w:sz w:val="20"/>
    </w:rPr>
  </w:style>
  <w:style w:type="character" w:customStyle="1" w:styleId="Nadpis9Char">
    <w:name w:val="Nadpis 9 Char"/>
    <w:basedOn w:val="Standardnpsmoodstavce"/>
    <w:link w:val="Nadpis9"/>
    <w:uiPriority w:val="9"/>
    <w:semiHidden/>
    <w:rsid w:val="008220AC"/>
    <w:rPr>
      <w:rFonts w:asciiTheme="majorHAnsi" w:eastAsiaTheme="majorEastAsia" w:hAnsiTheme="majorHAnsi" w:cstheme="majorBidi"/>
      <w:i/>
      <w:iCs/>
      <w:noProof/>
      <w:color w:val="404040" w:themeColor="text1" w:themeTint="BF"/>
      <w:sz w:val="20"/>
    </w:rPr>
  </w:style>
  <w:style w:type="paragraph" w:customStyle="1" w:styleId="Text">
    <w:name w:val="Text"/>
    <w:basedOn w:val="Normln"/>
    <w:link w:val="TextChar"/>
    <w:qFormat/>
    <w:rsid w:val="00D7724A"/>
    <w:pPr>
      <w:spacing w:line="240" w:lineRule="auto"/>
      <w:jc w:val="left"/>
    </w:pPr>
    <w:rPr>
      <w:rFonts w:ascii="Arial" w:eastAsia="Times New Roman" w:hAnsi="Arial" w:cs="Arial"/>
      <w:noProof w:val="0"/>
      <w:szCs w:val="24"/>
      <w:lang w:eastAsia="cs-CZ"/>
    </w:rPr>
  </w:style>
  <w:style w:type="character" w:customStyle="1" w:styleId="TextChar">
    <w:name w:val="Text Char"/>
    <w:link w:val="Text"/>
    <w:qFormat/>
    <w:locked/>
    <w:rsid w:val="00D7724A"/>
    <w:rPr>
      <w:rFonts w:ascii="Arial" w:eastAsia="Times New Roman" w:hAnsi="Arial" w:cs="Arial"/>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854702">
      <w:bodyDiv w:val="1"/>
      <w:marLeft w:val="0"/>
      <w:marRight w:val="0"/>
      <w:marTop w:val="0"/>
      <w:marBottom w:val="0"/>
      <w:divBdr>
        <w:top w:val="none" w:sz="0" w:space="0" w:color="auto"/>
        <w:left w:val="none" w:sz="0" w:space="0" w:color="auto"/>
        <w:bottom w:val="none" w:sz="0" w:space="0" w:color="auto"/>
        <w:right w:val="none" w:sz="0" w:space="0" w:color="auto"/>
      </w:divBdr>
    </w:div>
    <w:div w:id="1487891216">
      <w:bodyDiv w:val="1"/>
      <w:marLeft w:val="0"/>
      <w:marRight w:val="0"/>
      <w:marTop w:val="0"/>
      <w:marBottom w:val="0"/>
      <w:divBdr>
        <w:top w:val="none" w:sz="0" w:space="0" w:color="auto"/>
        <w:left w:val="none" w:sz="0" w:space="0" w:color="auto"/>
        <w:bottom w:val="none" w:sz="0" w:space="0" w:color="auto"/>
        <w:right w:val="none" w:sz="0" w:space="0" w:color="auto"/>
      </w:divBdr>
    </w:div>
    <w:div w:id="197921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oveschranky.inf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DFE9C-2851-4AED-AFA2-3C5B2024D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1335</Words>
  <Characters>7880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RADOSTA Roman, Mgr.</cp:lastModifiedBy>
  <cp:revision>2</cp:revision>
  <cp:lastPrinted>2021-02-01T11:59:00Z</cp:lastPrinted>
  <dcterms:created xsi:type="dcterms:W3CDTF">2021-11-11T11:10:00Z</dcterms:created>
  <dcterms:modified xsi:type="dcterms:W3CDTF">2021-11-11T11:10:00Z</dcterms:modified>
</cp:coreProperties>
</file>