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638A" w14:textId="77777777" w:rsidR="00794BBD" w:rsidRDefault="009901CA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045F7E4D" w14:textId="77777777" w:rsidR="00794BBD" w:rsidRDefault="009901CA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5E7D094B" w14:textId="77777777" w:rsidR="00794BBD" w:rsidRDefault="009901CA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22RGI02-0131</w:t>
      </w:r>
      <w:r>
        <w:fldChar w:fldCharType="end"/>
      </w:r>
    </w:p>
    <w:p w14:paraId="3CC96CA4" w14:textId="77777777" w:rsidR="00794BBD" w:rsidRDefault="009901CA">
      <w:pPr>
        <w:jc w:val="both"/>
        <w:rPr>
          <w:sz w:val="24"/>
        </w:rPr>
      </w:pPr>
      <w:r>
        <w:rPr>
          <w:sz w:val="24"/>
        </w:rPr>
        <w:t>kterou v souladu s ustanovením § 10a odst. (3) a (5)</w:t>
      </w:r>
      <w:r>
        <w:rPr>
          <w:sz w:val="24"/>
        </w:rPr>
        <w:t xml:space="preserve">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</w:t>
      </w:r>
      <w:r>
        <w:rPr>
          <w:sz w:val="24"/>
        </w:rPr>
        <w:t xml:space="preserve"> občanský zákoník, ve znění pozdějších předpisů, uzavřely tyto smluvní strany:</w:t>
      </w:r>
    </w:p>
    <w:p w14:paraId="5D6728B4" w14:textId="77777777" w:rsidR="00D7312A" w:rsidRDefault="00D7312A">
      <w:pPr>
        <w:jc w:val="center"/>
        <w:rPr>
          <w:b/>
          <w:sz w:val="24"/>
        </w:rPr>
      </w:pPr>
    </w:p>
    <w:p w14:paraId="05ABE33E" w14:textId="41E7319D" w:rsidR="00794BBD" w:rsidRDefault="009901CA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2E396710" w14:textId="77777777" w:rsidR="00794BBD" w:rsidRDefault="00794BBD">
      <w:pPr>
        <w:jc w:val="center"/>
        <w:rPr>
          <w:sz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794BBD" w14:paraId="2A423EF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B33AAB9" w14:textId="77777777" w:rsidR="00794BBD" w:rsidRDefault="009901CA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8297A36" w14:textId="77777777" w:rsidR="00794BBD" w:rsidRDefault="009901CA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794BBD" w14:paraId="3DB828B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A7638EF" w14:textId="77777777" w:rsidR="00794BBD" w:rsidRDefault="009901CA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473134C" w14:textId="77777777" w:rsidR="00794BBD" w:rsidRDefault="009901CA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794BBD" w14:paraId="1206A56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CFEFA13" w14:textId="77777777" w:rsidR="00794BBD" w:rsidRDefault="009901CA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CCCA5EF" w14:textId="77777777" w:rsidR="00794BBD" w:rsidRDefault="009901CA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794BBD" w14:paraId="4BC9D04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404499F" w14:textId="77777777" w:rsidR="00794BBD" w:rsidRDefault="009901CA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3890D23" w14:textId="77777777" w:rsidR="00794BBD" w:rsidRDefault="009901CA">
            <w:pPr>
              <w:rPr>
                <w:sz w:val="24"/>
              </w:rPr>
            </w:pPr>
            <w:r>
              <w:rPr>
                <w:sz w:val="24"/>
              </w:rPr>
              <w:t>107-</w:t>
            </w:r>
            <w:r>
              <w:rPr>
                <w:sz w:val="24"/>
              </w:rPr>
              <w:t>4153480277/0100</w:t>
            </w:r>
          </w:p>
        </w:tc>
      </w:tr>
    </w:tbl>
    <w:p w14:paraId="18482876" w14:textId="77777777" w:rsidR="00794BBD" w:rsidRDefault="009901CA">
      <w:pPr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99900</w:t>
      </w:r>
      <w:proofErr w:type="gramEnd"/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29127</w:t>
      </w:r>
      <w:r>
        <w:fldChar w:fldCharType="end"/>
      </w:r>
    </w:p>
    <w:p w14:paraId="2344E33A" w14:textId="77777777" w:rsidR="00794BBD" w:rsidRDefault="009901CA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24CDEFEE" w14:textId="77777777" w:rsidR="00794BBD" w:rsidRDefault="009901CA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0B7A385C" w14:textId="77777777" w:rsidR="00794BBD" w:rsidRDefault="00794BBD">
      <w:pPr>
        <w:rPr>
          <w:color w:val="000000"/>
          <w:sz w:val="24"/>
        </w:rPr>
      </w:pPr>
    </w:p>
    <w:p w14:paraId="6AD0CC0E" w14:textId="77777777" w:rsidR="00794BBD" w:rsidRDefault="009901CA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Obec Velichovky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794BBD" w14:paraId="4EFA1C2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7311C7C" w14:textId="77777777" w:rsidR="00794BBD" w:rsidRDefault="009901CA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EB45C" w14:textId="77777777" w:rsidR="00794BBD" w:rsidRDefault="009901CA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 xml:space="preserve">Na zátiší 1, </w:t>
            </w:r>
            <w:proofErr w:type="gramStart"/>
            <w:r>
              <w:rPr>
                <w:sz w:val="24"/>
              </w:rPr>
              <w:t>55211  Velichovky</w:t>
            </w:r>
            <w:proofErr w:type="gramEnd"/>
            <w:r>
              <w:fldChar w:fldCharType="end"/>
            </w:r>
          </w:p>
        </w:tc>
      </w:tr>
      <w:tr w:rsidR="00794BBD" w14:paraId="6F20207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C1762ED" w14:textId="77777777" w:rsidR="00794BBD" w:rsidRDefault="009901CA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B1EF9" w14:textId="024F93D6" w:rsidR="00794BBD" w:rsidRDefault="009901CA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proofErr w:type="gramStart"/>
            <w:r>
              <w:rPr>
                <w:sz w:val="24"/>
              </w:rPr>
              <w:t xml:space="preserve">Jiří  </w:t>
            </w:r>
            <w:proofErr w:type="spellStart"/>
            <w:r>
              <w:rPr>
                <w:sz w:val="24"/>
              </w:rPr>
              <w:t>Lebedin</w:t>
            </w:r>
            <w:r>
              <w:rPr>
                <w:sz w:val="24"/>
              </w:rPr>
              <w:t>ský</w:t>
            </w:r>
            <w:proofErr w:type="spellEnd"/>
            <w:proofErr w:type="gramEnd"/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</w:instrText>
            </w:r>
            <w:r>
              <w:rPr>
                <w:sz w:val="24"/>
              </w:rPr>
              <w:instrText xml:space="preserve">n  \* MERGEFORMAT </w:instrText>
            </w:r>
            <w:r>
              <w:fldChar w:fldCharType="separate"/>
            </w:r>
            <w:r>
              <w:rPr>
                <w:sz w:val="24"/>
              </w:rPr>
              <w:t>Starosta</w:t>
            </w:r>
            <w:r>
              <w:fldChar w:fldCharType="end"/>
            </w:r>
          </w:p>
        </w:tc>
      </w:tr>
      <w:tr w:rsidR="00794BBD" w14:paraId="5596589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E8AE959" w14:textId="77777777" w:rsidR="00794BBD" w:rsidRDefault="009901CA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6CD13" w14:textId="77777777" w:rsidR="00794BBD" w:rsidRDefault="009901CA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00273155</w:t>
            </w:r>
            <w:r>
              <w:fldChar w:fldCharType="end"/>
            </w:r>
          </w:p>
        </w:tc>
      </w:tr>
      <w:tr w:rsidR="00794BBD" w14:paraId="5DFF038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3D2BC62" w14:textId="77777777" w:rsidR="00794BBD" w:rsidRDefault="009901CA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1AF4D" w14:textId="77777777" w:rsidR="00794BBD" w:rsidRDefault="009901CA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94-4610551/0710</w:t>
            </w:r>
            <w:r>
              <w:fldChar w:fldCharType="end"/>
            </w:r>
          </w:p>
        </w:tc>
      </w:tr>
    </w:tbl>
    <w:p w14:paraId="4F2E3799" w14:textId="59917BF9" w:rsidR="00794BBD" w:rsidRDefault="009901CA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3B17D022" w14:textId="77777777" w:rsidR="00794BBD" w:rsidRDefault="00794BBD">
      <w:pPr>
        <w:jc w:val="center"/>
        <w:rPr>
          <w:sz w:val="24"/>
        </w:rPr>
      </w:pPr>
    </w:p>
    <w:p w14:paraId="1B98833E" w14:textId="77777777" w:rsidR="00794BBD" w:rsidRDefault="009901CA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44EFA1A9" w14:textId="77777777" w:rsidR="00794BBD" w:rsidRDefault="009901CA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Předmět smlouvy a účel </w:t>
      </w:r>
      <w:r>
        <w:rPr>
          <w:b/>
          <w:sz w:val="24"/>
        </w:rPr>
        <w:t>dotace</w:t>
      </w:r>
    </w:p>
    <w:p w14:paraId="3819BCD1" w14:textId="1E602CDE" w:rsidR="00794BBD" w:rsidRDefault="009901CA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D7312A">
        <w:rPr>
          <w:sz w:val="24"/>
        </w:rPr>
        <w:t>neinvestiční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Okrasné květináče a koše, vánoční betlém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</w:t>
      </w:r>
      <w:r>
        <w:rPr>
          <w:sz w:val="24"/>
        </w:rPr>
        <w:t>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22RGI02-0131</w:t>
      </w:r>
      <w:r>
        <w:fldChar w:fldCharType="end"/>
      </w:r>
      <w:r>
        <w:rPr>
          <w:sz w:val="24"/>
        </w:rPr>
        <w:t>, (dále jen „projekt“).</w:t>
      </w:r>
    </w:p>
    <w:p w14:paraId="4E6D7165" w14:textId="45FF3E66" w:rsidR="00794BBD" w:rsidRDefault="009901CA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Dotaci lze použít na účel: </w:t>
      </w:r>
      <w:r w:rsidR="00D7312A" w:rsidRPr="00D7312A">
        <w:rPr>
          <w:b/>
          <w:bCs/>
          <w:color w:val="000000"/>
          <w:sz w:val="24"/>
          <w:szCs w:val="24"/>
        </w:rPr>
        <w:t>nákup okrasných květináčů a košů včetně osázení květinami na nádvoří před obecním úřadem a pořízení vánočního betlém</w:t>
      </w:r>
      <w:r w:rsidR="00D7312A">
        <w:rPr>
          <w:b/>
          <w:bCs/>
          <w:color w:val="000000"/>
          <w:sz w:val="24"/>
          <w:szCs w:val="24"/>
        </w:rPr>
        <w:t>u</w:t>
      </w:r>
      <w:r w:rsidR="00D7312A" w:rsidRPr="00D7312A">
        <w:rPr>
          <w:b/>
          <w:bCs/>
          <w:color w:val="000000"/>
          <w:sz w:val="24"/>
          <w:szCs w:val="24"/>
        </w:rPr>
        <w:t xml:space="preserve"> v životní velikosti</w:t>
      </w:r>
      <w:r>
        <w:rPr>
          <w:sz w:val="24"/>
        </w:rPr>
        <w:t xml:space="preserve">. Na jiné výdaje, směřující k realizaci projektu, lze dotaci použít jen se souhlasem </w:t>
      </w:r>
      <w:r w:rsidR="00D7312A">
        <w:rPr>
          <w:sz w:val="24"/>
        </w:rPr>
        <w:t>poskytovatele</w:t>
      </w:r>
      <w:r>
        <w:rPr>
          <w:sz w:val="24"/>
        </w:rPr>
        <w:t>.</w:t>
      </w:r>
    </w:p>
    <w:p w14:paraId="57A416DE" w14:textId="77777777" w:rsidR="00794BBD" w:rsidRDefault="009901CA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4D0E210F" w14:textId="77777777" w:rsidR="00794BBD" w:rsidRDefault="009901CA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32171132" w14:textId="06C8AAF5" w:rsidR="00794BBD" w:rsidRDefault="009901CA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D7312A">
        <w:rPr>
          <w:sz w:val="24"/>
        </w:rPr>
        <w:t>neinvestiční</w:t>
      </w:r>
      <w:r>
        <w:rPr>
          <w:sz w:val="24"/>
        </w:rPr>
        <w:t xml:space="preserve"> dotace ve výši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250 000</w:t>
      </w:r>
      <w:r>
        <w:rPr>
          <w:b/>
          <w:sz w:val="24"/>
        </w:rPr>
        <w:t>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22RGI02-0131</w:t>
      </w:r>
      <w:r>
        <w:fldChar w:fldCharType="end"/>
      </w:r>
      <w:r>
        <w:rPr>
          <w:sz w:val="24"/>
        </w:rPr>
        <w:t xml:space="preserve"> (dále jen „žádost o dotaci“). </w:t>
      </w:r>
    </w:p>
    <w:p w14:paraId="39FB6F59" w14:textId="77777777" w:rsidR="00794BBD" w:rsidRDefault="009901CA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</w:t>
      </w:r>
      <w:r>
        <w:rPr>
          <w:sz w:val="24"/>
        </w:rPr>
        <w:t xml:space="preserve">45 dnů ode dne nabytí účinnosti této smlouvy. </w:t>
      </w:r>
    </w:p>
    <w:p w14:paraId="7DEB8E68" w14:textId="77777777" w:rsidR="00794BBD" w:rsidRDefault="009901CA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50C32D42" w14:textId="77777777" w:rsidR="00794BBD" w:rsidRDefault="009901CA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6AAC1205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předmětnou dotaci přijímá a zavazuje se, že bude projekt realizovat v souladu s právními předpisy a zněním Zásad pro poskytování dotací a darů z rozpočtu Královéhradeckéh</w:t>
      </w:r>
      <w:r>
        <w:rPr>
          <w:sz w:val="24"/>
        </w:rPr>
        <w:t xml:space="preserve">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</w:t>
      </w:r>
      <w:r>
        <w:rPr>
          <w:sz w:val="24"/>
        </w:rPr>
        <w:t>ační portál“). Příjemce se zavazuje použít dotaci maximálně hospodárným způsobem.</w:t>
      </w:r>
    </w:p>
    <w:p w14:paraId="663C29DF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</w:t>
      </w:r>
      <w:r>
        <w:rPr>
          <w:sz w:val="24"/>
        </w:rPr>
        <w:t>e“ nebo „zákon č. 320/2001 Sb., o finanční kontrole“), veřejnou finanční podporou a vztahují se na ni všechna ustanovení tohoto zákona.</w:t>
      </w:r>
    </w:p>
    <w:p w14:paraId="2D1F4AF8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</w:t>
      </w:r>
      <w:r>
        <w:rPr>
          <w:sz w:val="24"/>
        </w:rPr>
        <w:t>turálních fondů Evropské unie, pokud to pravidla pro poskytnutí těchto podpor nevylučují.</w:t>
      </w:r>
    </w:p>
    <w:p w14:paraId="248BE8B5" w14:textId="77777777" w:rsidR="00794BBD" w:rsidRDefault="009901CA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>ve které musejí být provedeny všechny činnosti spojené s realizací předmě</w:t>
      </w:r>
      <w:r>
        <w:rPr>
          <w:sz w:val="24"/>
        </w:rPr>
        <w:t xml:space="preserve">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01.04.2022</w:t>
      </w:r>
      <w:r>
        <w:fldChar w:fldCharType="end"/>
      </w:r>
      <w:r>
        <w:rPr>
          <w:b/>
          <w:sz w:val="24"/>
        </w:rPr>
        <w:t xml:space="preserve"> 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31.12.2022</w:t>
      </w:r>
      <w:r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</w:t>
      </w:r>
      <w:r>
        <w:rPr>
          <w:sz w:val="24"/>
        </w:rPr>
        <w:t>. Těmito výdaji jsou výdaje, které budou vynaloženy v době realizace projektu nebo tvoří kompenzaci již vynaložených výdajů souvisejících s realizací projektu od termínu jeho zahájení.</w:t>
      </w:r>
    </w:p>
    <w:p w14:paraId="266B2EB6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DPH, o jejíž vrácení může příjemce zpětně zažádat, není uznatelným výda</w:t>
      </w:r>
      <w:r>
        <w:rPr>
          <w:sz w:val="24"/>
        </w:rPr>
        <w:t xml:space="preserve">jem. </w:t>
      </w:r>
    </w:p>
    <w:p w14:paraId="78EBD67A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0A9008C6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52AD508C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</w:t>
      </w:r>
      <w:r>
        <w:rPr>
          <w:sz w:val="24"/>
        </w:rPr>
        <w:t xml:space="preserve">nen v rámci účetnictví vést výdaje vynaložené na realizaci projektu odděleně (např. analytická evidence, střediska apod.), v členění na výdaje financované z poskytnuté dotace </w:t>
      </w:r>
      <w:r>
        <w:rPr>
          <w:sz w:val="24"/>
        </w:rPr>
        <w:lastRenderedPageBreak/>
        <w:t>a výdaje financované z vlastního podílu, v souladu se zákonem č. 563/1991 Sb., o </w:t>
      </w:r>
      <w:r>
        <w:rPr>
          <w:sz w:val="24"/>
        </w:rPr>
        <w:t>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</w:t>
      </w:r>
      <w:r>
        <w:rPr>
          <w:sz w:val="24"/>
        </w:rPr>
        <w:t>ogicky řazené a vedené způsobem zaručujícím jejich trvalost.</w:t>
      </w:r>
    </w:p>
    <w:p w14:paraId="5DF7E2AD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</w:t>
      </w:r>
      <w:r>
        <w:rPr>
          <w:sz w:val="24"/>
        </w:rPr>
        <w:t xml:space="preserve">z dotace. </w:t>
      </w:r>
    </w:p>
    <w:p w14:paraId="09BFDC32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</w:t>
      </w:r>
      <w:r>
        <w:rPr>
          <w:sz w:val="24"/>
        </w:rPr>
        <w:t>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206F195F" w14:textId="77777777" w:rsidR="00794BBD" w:rsidRDefault="009901CA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</w:t>
      </w:r>
      <w:r>
        <w:rPr>
          <w:b/>
          <w:sz w:val="24"/>
        </w:rPr>
        <w:t>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31.12.2022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612D159F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</w:t>
      </w:r>
      <w:r>
        <w:rPr>
          <w:sz w:val="24"/>
        </w:rPr>
        <w:t>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</w:t>
      </w:r>
      <w:r>
        <w:rPr>
          <w:sz w:val="24"/>
        </w:rPr>
        <w:t>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</w:t>
      </w:r>
      <w:r>
        <w:rPr>
          <w:sz w:val="24"/>
        </w:rPr>
        <w:t>ící s poskytnutou dotací po dobu 10 let počínajících koncem účetního období, ve kterém byla ukončena realizace předmětného projektu.</w:t>
      </w:r>
    </w:p>
    <w:p w14:paraId="19A352E0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ve lhůtě 5 pracovních dnů po uplynutí lhůty pro předání Závěrečné zprávy vrátit případnou nepoužitou čá</w:t>
      </w:r>
      <w:r>
        <w:rPr>
          <w:sz w:val="24"/>
        </w:rPr>
        <w:t>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</w:t>
      </w:r>
      <w:r>
        <w:rPr>
          <w:sz w:val="24"/>
        </w:rPr>
        <w:t xml:space="preserve">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</w:t>
      </w:r>
      <w:r>
        <w:rPr>
          <w:sz w:val="24"/>
        </w:rPr>
        <w:t xml:space="preserve"> považuje den jeho odeslání poskytovateli prostřednictvím dotačního portálu.</w:t>
      </w:r>
    </w:p>
    <w:p w14:paraId="29AF143F" w14:textId="77777777" w:rsidR="00794BBD" w:rsidRDefault="009901CA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u veškerého majetku získaného z dotace dodržovat dobu udržitelnosti projektu stanovenou v Zásadách. Stav majetku, jeho evidenci v účetnictví a využívání pro sv</w:t>
      </w:r>
      <w:r>
        <w:rPr>
          <w:sz w:val="24"/>
        </w:rPr>
        <w:t xml:space="preserve">ou činnost je příjemce povinen prokázat kdykoliv během doby, po kterou má majetek pořízený z poskytnuté dotace ve svém vlastnictví, max. do uplynutí doby udržitelnosti projektu. </w:t>
      </w:r>
    </w:p>
    <w:p w14:paraId="3CA8898E" w14:textId="77777777" w:rsidR="00794BBD" w:rsidRDefault="009901CA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Poskytovatel má právo využít informace a výstupy realizovaného projektu včetn</w:t>
      </w:r>
      <w:r>
        <w:rPr>
          <w:sz w:val="24"/>
        </w:rPr>
        <w:t>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28B1F02B" w14:textId="77777777" w:rsidR="00794BBD" w:rsidRDefault="009901C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IV.</w:t>
      </w:r>
    </w:p>
    <w:p w14:paraId="4D576475" w14:textId="77777777" w:rsidR="00794BBD" w:rsidRDefault="009901CA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</w:t>
      </w:r>
      <w:r>
        <w:rPr>
          <w:b/>
          <w:sz w:val="24"/>
        </w:rPr>
        <w:t>vidací a změny podmínek čerpání poskytnuté dotace</w:t>
      </w:r>
    </w:p>
    <w:p w14:paraId="2CB5B73E" w14:textId="77777777" w:rsidR="00794BBD" w:rsidRDefault="009901CA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>Příjemce je povinen průběžně a prokazatelným způsobem informovat poskytovatele o všech změnách souvisejících s projektem (o změně  harmonogramu realizace projektu, změně statutárního orgánu, změně osoby odp</w:t>
      </w:r>
      <w:r>
        <w:rPr>
          <w:sz w:val="24"/>
        </w:rPr>
        <w:t>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</w:t>
      </w:r>
      <w:r>
        <w:rPr>
          <w:sz w:val="24"/>
        </w:rPr>
        <w:t xml:space="preserve">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52439E16" w14:textId="77777777" w:rsidR="00794BBD" w:rsidRDefault="009901CA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>V případě, že dochází u příjemce k zániku s likvidací, je příjemce povinen vrátit nedočerpané prostředky poskytovateli, a t</w:t>
      </w:r>
      <w:r>
        <w:rPr>
          <w:sz w:val="24"/>
        </w:rPr>
        <w:t xml:space="preserve">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</w:t>
      </w:r>
      <w:r>
        <w:rPr>
          <w:sz w:val="24"/>
        </w:rPr>
        <w:t>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</w:t>
      </w:r>
      <w:r>
        <w:rPr>
          <w:sz w:val="24"/>
        </w:rPr>
        <w:t>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</w:t>
      </w:r>
      <w:r>
        <w:rPr>
          <w:sz w:val="24"/>
        </w:rPr>
        <w:t>o „zákon č. 250/2000 Sb., o rozpočtových pravidlech územních rozpočtů“), bude postupováno dle tohoto zákona a zákona č. 280/2009 Sb., daňový řád, ve znění pozdějších předpisů.</w:t>
      </w:r>
    </w:p>
    <w:p w14:paraId="0714A6A9" w14:textId="77777777" w:rsidR="00794BBD" w:rsidRDefault="009901CA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Příjemce je povinen požádat poskytovatele prokazatelným způsobem o schválení zám</w:t>
      </w:r>
      <w:r>
        <w:rPr>
          <w:sz w:val="24"/>
        </w:rPr>
        <w:t>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</w:t>
      </w:r>
      <w:r>
        <w:rPr>
          <w:sz w:val="24"/>
        </w:rPr>
        <w:t xml:space="preserve"> projektu. </w:t>
      </w:r>
    </w:p>
    <w:p w14:paraId="3E4A4DC1" w14:textId="77777777" w:rsidR="00794BBD" w:rsidRDefault="009901CA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4395ACF8" w14:textId="77777777" w:rsidR="00794BBD" w:rsidRDefault="009901CA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60198759" w14:textId="77777777" w:rsidR="00794BBD" w:rsidRDefault="009901CA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</w:t>
      </w:r>
      <w:r>
        <w:rPr>
          <w:sz w:val="24"/>
        </w:rPr>
        <w:t>ch pravidlech územních rozpočtů, oprávněny kdykoli kontrolovat dodržení podmínek, za kterých byla dotace poskytnuta.</w:t>
      </w:r>
    </w:p>
    <w:p w14:paraId="4E6A58B1" w14:textId="77777777" w:rsidR="00794BBD" w:rsidRDefault="009901CA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60D965B3" w14:textId="77777777" w:rsidR="00794BBD" w:rsidRDefault="009901CA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0F1F7758" w14:textId="77777777" w:rsidR="00794BBD" w:rsidRDefault="009901CA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>Pokud se příjemce dopustí porušení rozpočtové kázně</w:t>
      </w:r>
      <w:r>
        <w:rPr>
          <w:sz w:val="24"/>
        </w:rPr>
        <w:t xml:space="preserve">, poskytovatel dotace bude postupovat dle ustanovení § 22 ZORP. </w:t>
      </w:r>
    </w:p>
    <w:p w14:paraId="45323359" w14:textId="77777777" w:rsidR="00794BBD" w:rsidRDefault="009901CA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>Podmínky, jejichž porušení je dle ustanovení § 10a odst. (6) ZORP považováno za méně závažné, za které se uloží odvod za porušení rozpočtové kázně nižší, než odpovídá výši neoprávněně použitý</w:t>
      </w:r>
      <w:r>
        <w:rPr>
          <w:sz w:val="24"/>
        </w:rPr>
        <w:t>ch nebo zadržených peněžních prostředků:</w:t>
      </w:r>
    </w:p>
    <w:p w14:paraId="31E8C901" w14:textId="77777777" w:rsidR="00794BBD" w:rsidRDefault="009901CA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lastRenderedPageBreak/>
        <w:t>nepředání Závěrečné zprávy nebo dílčího finančního vypořádání dotace ve lhůtách stanovených touto smlouvou [viz článek III. odst. (11) a (13) této smlouvy]:</w:t>
      </w:r>
    </w:p>
    <w:p w14:paraId="4A7405E0" w14:textId="77777777" w:rsidR="00794BBD" w:rsidRDefault="009901CA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</w:t>
      </w:r>
      <w:r>
        <w:rPr>
          <w:sz w:val="24"/>
        </w:rPr>
        <w:t xml:space="preserve"> překročení o max. 5 pracovních dnů,</w:t>
      </w:r>
    </w:p>
    <w:p w14:paraId="60124C66" w14:textId="77777777" w:rsidR="00794BBD" w:rsidRDefault="009901CA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3909BFB8" w14:textId="77777777" w:rsidR="00794BBD" w:rsidRDefault="009901CA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</w:t>
      </w:r>
      <w:r>
        <w:rPr>
          <w:sz w:val="24"/>
        </w:rPr>
        <w:t>ástky poskytnuté dotace,</w:t>
      </w:r>
    </w:p>
    <w:p w14:paraId="460CC771" w14:textId="77777777" w:rsidR="00794BBD" w:rsidRDefault="009901CA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4787504E" w14:textId="77777777" w:rsidR="00794BBD" w:rsidRDefault="009901CA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</w:t>
      </w:r>
      <w:r>
        <w:rPr>
          <w:sz w:val="24"/>
        </w:rPr>
        <w:t>í účet poskytovatele uvedený v záhlaví této smlouvy.</w:t>
      </w:r>
    </w:p>
    <w:p w14:paraId="2D208BCA" w14:textId="77777777" w:rsidR="00794BBD" w:rsidRDefault="009901CA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549F9AD9" w14:textId="77777777" w:rsidR="00794BBD" w:rsidRDefault="009901CA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0A046834" w14:textId="77777777" w:rsidR="00794BBD" w:rsidRDefault="009901CA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>V případě, že příjemce nebude projekt realizovat, je kterákoli ze sml</w:t>
      </w:r>
      <w:r>
        <w:rPr>
          <w:sz w:val="24"/>
        </w:rPr>
        <w:t xml:space="preserve">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661E3F8C" w14:textId="77777777" w:rsidR="00794BBD" w:rsidRDefault="009901CA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Výpovědní d</w:t>
      </w:r>
      <w:r>
        <w:rPr>
          <w:sz w:val="24"/>
        </w:rPr>
        <w:t xml:space="preserve">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3178C197" w14:textId="77777777" w:rsidR="00794BBD" w:rsidRDefault="009901CA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</w:t>
      </w:r>
      <w:r>
        <w:rPr>
          <w:sz w:val="24"/>
        </w:rPr>
        <w:t>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</w:t>
      </w:r>
      <w:r>
        <w:rPr>
          <w:sz w:val="24"/>
        </w:rPr>
        <w:t> 22 odst. (3) ZORP, a poskytovatel dotace bude postupovat v souladu s tímto ustanovením.</w:t>
      </w:r>
    </w:p>
    <w:p w14:paraId="00A78EA2" w14:textId="77777777" w:rsidR="00794BBD" w:rsidRDefault="009901CA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371788FC" w14:textId="77777777" w:rsidR="00794BBD" w:rsidRDefault="009901CA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1CEF04DD" w14:textId="77777777" w:rsidR="00794BBD" w:rsidRDefault="009901CA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189A6502" w14:textId="77777777" w:rsidR="00794BBD" w:rsidRDefault="009901CA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7621C594" w14:textId="77777777" w:rsidR="00794BBD" w:rsidRDefault="009901CA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Smluvní strany souhlasí se zveřejněním této smlouvy i všech údajů týkajících se projektu. Příjemce prohlašuje, že tato smlouva neobsahuje žádná obcho</w:t>
      </w:r>
      <w:r>
        <w:rPr>
          <w:sz w:val="24"/>
        </w:rPr>
        <w:t xml:space="preserve">dní tajemství. Příjemce bere </w:t>
      </w:r>
      <w:r>
        <w:br/>
      </w:r>
      <w:r>
        <w:rPr>
          <w:sz w:val="24"/>
        </w:rPr>
        <w:t xml:space="preserve">na vědomí, že tato smlouva může být zveřejněna v registru smluv včetně všech údajů uváděných </w:t>
      </w:r>
      <w:r>
        <w:rPr>
          <w:sz w:val="24"/>
        </w:rPr>
        <w:lastRenderedPageBreak/>
        <w:t>v této smlouvě a souhlasí s tímto zveřejněním včetně veškerých případných osobních údajů všech osob uváděných ve smlouvě.</w:t>
      </w:r>
    </w:p>
    <w:p w14:paraId="08A5C664" w14:textId="77777777" w:rsidR="00794BBD" w:rsidRDefault="009901CA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</w:t>
      </w:r>
      <w:r>
        <w:rPr>
          <w:sz w:val="24"/>
        </w:rPr>
        <w:t xml:space="preserve">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</w:t>
      </w:r>
      <w:r>
        <w:rPr>
          <w:sz w:val="24"/>
        </w:rPr>
        <w:t xml:space="preserve"> Případné další podmínky budou upraveny v licenční smlouvě.</w:t>
      </w:r>
    </w:p>
    <w:p w14:paraId="5AB8951C" w14:textId="77777777" w:rsidR="00794BBD" w:rsidRDefault="009901CA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763D4882" w14:textId="77777777" w:rsidR="00794BBD" w:rsidRDefault="009901CA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Práva a povinnosti z této smlouvy vyplývající přecházejí na </w:t>
      </w:r>
      <w:r>
        <w:rPr>
          <w:sz w:val="24"/>
        </w:rPr>
        <w:t>právního nástupce příjemce.</w:t>
      </w:r>
    </w:p>
    <w:p w14:paraId="28138E4D" w14:textId="77777777" w:rsidR="00794BBD" w:rsidRDefault="009901CA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1146E92E" w14:textId="77777777" w:rsidR="00794BBD" w:rsidRDefault="009901CA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Vztahy touto smlouvou neupravené se řídí právním řádem České republiky zejména ustanoveními </w:t>
      </w:r>
      <w:r>
        <w:rPr>
          <w:sz w:val="24"/>
        </w:rPr>
        <w:t>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686C4EF1" w14:textId="77777777" w:rsidR="00794BBD" w:rsidRDefault="009901CA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</w:t>
      </w:r>
      <w:r>
        <w:rPr>
          <w:sz w:val="24"/>
        </w:rPr>
        <w:t>ě jsou určena pro poskytovatele a jedno pro příjemce.</w:t>
      </w:r>
    </w:p>
    <w:p w14:paraId="1E1D6D76" w14:textId="77777777" w:rsidR="00794BBD" w:rsidRDefault="009901CA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</w:t>
      </w:r>
      <w:r>
        <w:rPr>
          <w:sz w:val="24"/>
        </w:rPr>
        <w:t>ování těchto smluv a o registru smluv (zákon o registru smluv), ve znění pozdějších předpisů] nestanoví účinnost jinak.</w:t>
      </w:r>
    </w:p>
    <w:p w14:paraId="69FD0FA5" w14:textId="77777777" w:rsidR="00794BBD" w:rsidRDefault="009901CA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2C4E2D98" w14:textId="1D814910" w:rsidR="00794BBD" w:rsidRDefault="009901CA">
      <w:pPr>
        <w:keepNext/>
        <w:ind w:left="357"/>
        <w:jc w:val="both"/>
        <w:rPr>
          <w:sz w:val="24"/>
        </w:rPr>
      </w:pPr>
      <w:r>
        <w:rPr>
          <w:sz w:val="24"/>
        </w:rPr>
        <w:t>O poskytnutí dotace a uzavření této smlouvy rozhodlo Zastupitelstvo Královéhra</w:t>
      </w:r>
      <w:r>
        <w:rPr>
          <w:sz w:val="24"/>
        </w:rPr>
        <w:t xml:space="preserve">deckého kraje na svém zasedání konaném dne </w:t>
      </w:r>
      <w:r w:rsidR="00D7312A">
        <w:rPr>
          <w:sz w:val="24"/>
        </w:rPr>
        <w:t>2. 5. 2022</w:t>
      </w:r>
      <w:r>
        <w:rPr>
          <w:sz w:val="24"/>
        </w:rPr>
        <w:t xml:space="preserve"> usnesením č. </w:t>
      </w:r>
      <w:r>
        <w:fldChar w:fldCharType="begin"/>
      </w:r>
      <w:r>
        <w:instrText xml:space="preserve"> DOCVARIABLE  DotisGrantApprovalNumber  \* MERGEFORMAT </w:instrText>
      </w:r>
      <w:r>
        <w:fldChar w:fldCharType="separate"/>
      </w:r>
      <w:r>
        <w:t>ZK/20/1323/2015</w:t>
      </w:r>
      <w:r>
        <w:fldChar w:fldCharType="end"/>
      </w:r>
      <w:r>
        <w:rPr>
          <w:sz w:val="24"/>
        </w:rPr>
        <w:t>.../……/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>.</w:t>
      </w:r>
    </w:p>
    <w:p w14:paraId="4E37F556" w14:textId="77777777" w:rsidR="00794BBD" w:rsidRDefault="00794BBD">
      <w:pPr>
        <w:keepNext/>
        <w:ind w:left="357"/>
        <w:jc w:val="both"/>
        <w:rPr>
          <w:sz w:val="24"/>
        </w:rPr>
      </w:pPr>
    </w:p>
    <w:p w14:paraId="53CBCB45" w14:textId="77777777" w:rsidR="00794BBD" w:rsidRDefault="00794BBD">
      <w:pPr>
        <w:keepNext/>
        <w:ind w:left="357"/>
        <w:jc w:val="both"/>
        <w:rPr>
          <w:sz w:val="24"/>
        </w:rPr>
      </w:pPr>
    </w:p>
    <w:p w14:paraId="4C41E68A" w14:textId="77777777" w:rsidR="00794BBD" w:rsidRDefault="009901CA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…………………. dne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….......………                V Hradci Králové dne .................................</w:t>
      </w:r>
    </w:p>
    <w:p w14:paraId="1736191F" w14:textId="77777777" w:rsidR="00794BBD" w:rsidRDefault="00794BBD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14:paraId="116E7DB3" w14:textId="77777777" w:rsidR="00794BBD" w:rsidRDefault="00794BBD">
      <w:pPr>
        <w:tabs>
          <w:tab w:val="center" w:pos="2160"/>
          <w:tab w:val="center" w:pos="7020"/>
        </w:tabs>
        <w:rPr>
          <w:sz w:val="24"/>
        </w:rPr>
      </w:pPr>
    </w:p>
    <w:p w14:paraId="56D901C9" w14:textId="77777777" w:rsidR="00794BBD" w:rsidRDefault="00794BBD">
      <w:pPr>
        <w:tabs>
          <w:tab w:val="center" w:pos="2160"/>
          <w:tab w:val="center" w:pos="7020"/>
        </w:tabs>
        <w:rPr>
          <w:sz w:val="24"/>
        </w:rPr>
      </w:pPr>
    </w:p>
    <w:p w14:paraId="5E2659FA" w14:textId="45090AB1" w:rsidR="00794BBD" w:rsidRDefault="009901CA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</w:t>
      </w:r>
      <w:r w:rsidR="00A5790B">
        <w:rPr>
          <w:sz w:val="24"/>
        </w:rPr>
        <w:t xml:space="preserve">                       </w:t>
      </w:r>
      <w:r>
        <w:rPr>
          <w:sz w:val="24"/>
        </w:rPr>
        <w:t xml:space="preserve">           …...……………………………………….</w:t>
      </w:r>
    </w:p>
    <w:p w14:paraId="0056C37C" w14:textId="77777777" w:rsidR="00794BBD" w:rsidRDefault="009901CA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794BBD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0FDE" w14:textId="77777777" w:rsidR="009901CA" w:rsidRDefault="009901CA">
      <w:pPr>
        <w:spacing w:after="0" w:line="240" w:lineRule="auto"/>
      </w:pPr>
      <w:r>
        <w:separator/>
      </w:r>
    </w:p>
  </w:endnote>
  <w:endnote w:type="continuationSeparator" w:id="0">
    <w:p w14:paraId="436D9223" w14:textId="77777777" w:rsidR="009901CA" w:rsidRDefault="0099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9310" w14:textId="77777777" w:rsidR="00794BBD" w:rsidRDefault="009901CA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285AB9D6" w14:textId="77777777" w:rsidR="00794BBD" w:rsidRDefault="00794B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9501" w14:textId="77777777" w:rsidR="00794BBD" w:rsidRDefault="00794B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9685" w14:textId="77777777" w:rsidR="009901CA" w:rsidRDefault="009901CA">
      <w:pPr>
        <w:spacing w:after="0" w:line="240" w:lineRule="auto"/>
      </w:pPr>
      <w:r>
        <w:separator/>
      </w:r>
    </w:p>
  </w:footnote>
  <w:footnote w:type="continuationSeparator" w:id="0">
    <w:p w14:paraId="1151F0BD" w14:textId="77777777" w:rsidR="009901CA" w:rsidRDefault="0099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7AF"/>
    <w:multiLevelType w:val="hybridMultilevel"/>
    <w:tmpl w:val="FC3056AE"/>
    <w:lvl w:ilvl="0" w:tplc="C74AD60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70365BE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49E2D83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72B02C6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0D4840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2DA09AD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0565B4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9C229C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938AA29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3613EFD"/>
    <w:multiLevelType w:val="hybridMultilevel"/>
    <w:tmpl w:val="7D3E2E5C"/>
    <w:lvl w:ilvl="0" w:tplc="046E45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7A4AF16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7369E9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40818E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E225BA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8A43B4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984D86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852F98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F988F9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CC05F45"/>
    <w:multiLevelType w:val="multilevel"/>
    <w:tmpl w:val="45F2D71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0D860B73"/>
    <w:multiLevelType w:val="hybridMultilevel"/>
    <w:tmpl w:val="E7728C8C"/>
    <w:lvl w:ilvl="0" w:tplc="474A5C4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7C3C9D6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9B44E7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7D2A94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A48F5C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F4EE58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22E0BE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BB850D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AF472B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2D062DE"/>
    <w:multiLevelType w:val="multilevel"/>
    <w:tmpl w:val="707A8D7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13C1750C"/>
    <w:multiLevelType w:val="multilevel"/>
    <w:tmpl w:val="2C5E896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15B74F4C"/>
    <w:multiLevelType w:val="hybridMultilevel"/>
    <w:tmpl w:val="B38C8704"/>
    <w:lvl w:ilvl="0" w:tplc="37A65824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B4A823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5508EC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8DC1F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6E8BDB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83AC80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2F27C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D12AEF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612935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7F726BA"/>
    <w:multiLevelType w:val="hybridMultilevel"/>
    <w:tmpl w:val="E4925950"/>
    <w:lvl w:ilvl="0" w:tplc="EB629C8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2EA4B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13C1F9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FDCB8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9D2C8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2FC77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8887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30AB72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0FAA24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DD243B6"/>
    <w:multiLevelType w:val="multilevel"/>
    <w:tmpl w:val="A6D85BC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218B19AE"/>
    <w:multiLevelType w:val="multilevel"/>
    <w:tmpl w:val="AD30BA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23901483"/>
    <w:multiLevelType w:val="hybridMultilevel"/>
    <w:tmpl w:val="24342B84"/>
    <w:lvl w:ilvl="0" w:tplc="BC489844">
      <w:start w:val="1"/>
      <w:numFmt w:val="lowerLetter"/>
      <w:lvlText w:val="%1)"/>
      <w:lvlJc w:val="left"/>
      <w:pPr>
        <w:ind w:left="1854" w:hanging="360"/>
      </w:pPr>
    </w:lvl>
    <w:lvl w:ilvl="1" w:tplc="0658DCF6">
      <w:start w:val="1"/>
      <w:numFmt w:val="lowerLetter"/>
      <w:lvlText w:val="%2."/>
      <w:lvlJc w:val="left"/>
      <w:pPr>
        <w:ind w:left="2574" w:hanging="360"/>
      </w:pPr>
    </w:lvl>
    <w:lvl w:ilvl="2" w:tplc="6794372A">
      <w:start w:val="1"/>
      <w:numFmt w:val="lowerLetter"/>
      <w:lvlText w:val="%3."/>
      <w:lvlJc w:val="left"/>
      <w:pPr>
        <w:ind w:left="3294" w:hanging="180"/>
      </w:pPr>
    </w:lvl>
    <w:lvl w:ilvl="3" w:tplc="A22CDFAE">
      <w:start w:val="1"/>
      <w:numFmt w:val="decimal"/>
      <w:lvlText w:val="%4."/>
      <w:lvlJc w:val="left"/>
      <w:pPr>
        <w:ind w:left="4014" w:hanging="360"/>
      </w:pPr>
    </w:lvl>
    <w:lvl w:ilvl="4" w:tplc="A60EF646">
      <w:start w:val="1"/>
      <w:numFmt w:val="lowerLetter"/>
      <w:lvlText w:val="%5."/>
      <w:lvlJc w:val="left"/>
      <w:pPr>
        <w:ind w:left="4734" w:hanging="360"/>
      </w:pPr>
    </w:lvl>
    <w:lvl w:ilvl="5" w:tplc="82BA9F98">
      <w:start w:val="1"/>
      <w:numFmt w:val="lowerRoman"/>
      <w:lvlText w:val="%6."/>
      <w:lvlJc w:val="right"/>
      <w:pPr>
        <w:ind w:left="5454" w:hanging="180"/>
      </w:pPr>
    </w:lvl>
    <w:lvl w:ilvl="6" w:tplc="0C9AF00E">
      <w:start w:val="1"/>
      <w:numFmt w:val="decimal"/>
      <w:lvlText w:val="%7."/>
      <w:lvlJc w:val="left"/>
      <w:pPr>
        <w:ind w:left="6174" w:hanging="360"/>
      </w:pPr>
    </w:lvl>
    <w:lvl w:ilvl="7" w:tplc="C86C75CC">
      <w:start w:val="1"/>
      <w:numFmt w:val="lowerLetter"/>
      <w:lvlText w:val="%8."/>
      <w:lvlJc w:val="left"/>
      <w:pPr>
        <w:ind w:left="6894" w:hanging="360"/>
      </w:pPr>
    </w:lvl>
    <w:lvl w:ilvl="8" w:tplc="A20882C8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44B79D0"/>
    <w:multiLevelType w:val="multilevel"/>
    <w:tmpl w:val="EA626A6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257817DC"/>
    <w:multiLevelType w:val="multilevel"/>
    <w:tmpl w:val="321481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3" w15:restartNumberingAfterBreak="0">
    <w:nsid w:val="2783752F"/>
    <w:multiLevelType w:val="hybridMultilevel"/>
    <w:tmpl w:val="D7BA99BA"/>
    <w:lvl w:ilvl="0" w:tplc="F080E7B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7A820A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11A64A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64A68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530F34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D608F9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A5AF4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AA81B0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63EA3E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97516E8"/>
    <w:multiLevelType w:val="hybridMultilevel"/>
    <w:tmpl w:val="F452A13E"/>
    <w:lvl w:ilvl="0" w:tplc="332230B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D2AC33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8828C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A78B5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FF64E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1C2AC6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E6C02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90C01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C7E469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A3A3CE4"/>
    <w:multiLevelType w:val="hybridMultilevel"/>
    <w:tmpl w:val="67CA28E2"/>
    <w:lvl w:ilvl="0" w:tplc="BB08CFB0">
      <w:start w:val="1"/>
      <w:numFmt w:val="decimal"/>
      <w:lvlText w:val="(%1)"/>
      <w:lvlJc w:val="left"/>
      <w:pPr>
        <w:ind w:left="720" w:hanging="360"/>
      </w:pPr>
    </w:lvl>
    <w:lvl w:ilvl="1" w:tplc="20BAEEAA">
      <w:start w:val="1"/>
      <w:numFmt w:val="lowerLetter"/>
      <w:lvlText w:val="%2."/>
      <w:lvlJc w:val="left"/>
      <w:pPr>
        <w:ind w:left="1440" w:hanging="360"/>
      </w:pPr>
    </w:lvl>
    <w:lvl w:ilvl="2" w:tplc="99A4BE5E">
      <w:start w:val="1"/>
      <w:numFmt w:val="lowerRoman"/>
      <w:lvlText w:val="%3."/>
      <w:lvlJc w:val="right"/>
      <w:pPr>
        <w:ind w:left="2160" w:hanging="180"/>
      </w:pPr>
    </w:lvl>
    <w:lvl w:ilvl="3" w:tplc="D56C468E">
      <w:start w:val="1"/>
      <w:numFmt w:val="decimal"/>
      <w:lvlText w:val="%4."/>
      <w:lvlJc w:val="left"/>
      <w:pPr>
        <w:ind w:left="2880" w:hanging="360"/>
      </w:pPr>
    </w:lvl>
    <w:lvl w:ilvl="4" w:tplc="3020AE30">
      <w:start w:val="1"/>
      <w:numFmt w:val="lowerLetter"/>
      <w:lvlText w:val="%5."/>
      <w:lvlJc w:val="left"/>
      <w:pPr>
        <w:ind w:left="3600" w:hanging="360"/>
      </w:pPr>
    </w:lvl>
    <w:lvl w:ilvl="5" w:tplc="E3409632">
      <w:start w:val="1"/>
      <w:numFmt w:val="lowerRoman"/>
      <w:lvlText w:val="%6."/>
      <w:lvlJc w:val="right"/>
      <w:pPr>
        <w:ind w:left="4320" w:hanging="180"/>
      </w:pPr>
    </w:lvl>
    <w:lvl w:ilvl="6" w:tplc="72BE5D12">
      <w:start w:val="1"/>
      <w:numFmt w:val="decimal"/>
      <w:lvlText w:val="%7."/>
      <w:lvlJc w:val="left"/>
      <w:pPr>
        <w:ind w:left="5040" w:hanging="360"/>
      </w:pPr>
    </w:lvl>
    <w:lvl w:ilvl="7" w:tplc="0D50349C">
      <w:start w:val="1"/>
      <w:numFmt w:val="lowerLetter"/>
      <w:lvlText w:val="%8."/>
      <w:lvlJc w:val="left"/>
      <w:pPr>
        <w:ind w:left="5760" w:hanging="360"/>
      </w:pPr>
    </w:lvl>
    <w:lvl w:ilvl="8" w:tplc="ACF265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C2D9A"/>
    <w:multiLevelType w:val="multilevel"/>
    <w:tmpl w:val="413881D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2FB15303"/>
    <w:multiLevelType w:val="hybridMultilevel"/>
    <w:tmpl w:val="C2744F02"/>
    <w:lvl w:ilvl="0" w:tplc="7242BAA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5CA2206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648652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DFE1D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27082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80842A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3703F8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3FE40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3CA27E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FF4718C"/>
    <w:multiLevelType w:val="hybridMultilevel"/>
    <w:tmpl w:val="CC5EC676"/>
    <w:lvl w:ilvl="0" w:tplc="1834CE4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83ADA1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90E5B1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FE6CCA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B72F8D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52AC5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BE237A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23C34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0047F5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0D0490B"/>
    <w:multiLevelType w:val="multilevel"/>
    <w:tmpl w:val="CF54412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39F829E5"/>
    <w:multiLevelType w:val="multilevel"/>
    <w:tmpl w:val="03D080D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3CDE44BB"/>
    <w:multiLevelType w:val="hybridMultilevel"/>
    <w:tmpl w:val="1DA22916"/>
    <w:lvl w:ilvl="0" w:tplc="7758E01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552847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3CE2C6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8D2A4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B2CD7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D92B07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140F82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65A56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69CED9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31A7FB7"/>
    <w:multiLevelType w:val="multilevel"/>
    <w:tmpl w:val="BDDEA2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3" w15:restartNumberingAfterBreak="0">
    <w:nsid w:val="43846E2F"/>
    <w:multiLevelType w:val="multilevel"/>
    <w:tmpl w:val="B492BC0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4" w15:restartNumberingAfterBreak="0">
    <w:nsid w:val="4A0C00D7"/>
    <w:multiLevelType w:val="hybridMultilevel"/>
    <w:tmpl w:val="CEE6E964"/>
    <w:lvl w:ilvl="0" w:tplc="6976408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D6846A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06C57B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DFC4E6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0E220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52CFA6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96AAAA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DE8A5B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E16455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E5C731F"/>
    <w:multiLevelType w:val="hybridMultilevel"/>
    <w:tmpl w:val="604E013A"/>
    <w:lvl w:ilvl="0" w:tplc="6B44754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FE04879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2104DD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588C49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208435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9D84D7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D0CA52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EBAD74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C402DB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6" w15:restartNumberingAfterBreak="0">
    <w:nsid w:val="4E7F2CCA"/>
    <w:multiLevelType w:val="multilevel"/>
    <w:tmpl w:val="F738D6D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50C67A72"/>
    <w:multiLevelType w:val="multilevel"/>
    <w:tmpl w:val="6390E1D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51642296"/>
    <w:multiLevelType w:val="hybridMultilevel"/>
    <w:tmpl w:val="F5DA4092"/>
    <w:lvl w:ilvl="0" w:tplc="95CC18A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030923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62076A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C7233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752B82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35216F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DD8C7A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9524E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5C274E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32F00D7"/>
    <w:multiLevelType w:val="multilevel"/>
    <w:tmpl w:val="A81EFF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0" w15:restartNumberingAfterBreak="0">
    <w:nsid w:val="537E55A3"/>
    <w:multiLevelType w:val="hybridMultilevel"/>
    <w:tmpl w:val="0AF6EB40"/>
    <w:lvl w:ilvl="0" w:tplc="98CEB9F8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09B49AF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0C0373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E1EB2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D66A65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68AF91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8FAA2B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620962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61286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5DFB2D3B"/>
    <w:multiLevelType w:val="multilevel"/>
    <w:tmpl w:val="E3E4678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E2A30CC"/>
    <w:multiLevelType w:val="multilevel"/>
    <w:tmpl w:val="5DA872C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63E46265"/>
    <w:multiLevelType w:val="multilevel"/>
    <w:tmpl w:val="19B44F2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4" w15:restartNumberingAfterBreak="0">
    <w:nsid w:val="64276625"/>
    <w:multiLevelType w:val="multilevel"/>
    <w:tmpl w:val="C6A8C81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6A9D4776"/>
    <w:multiLevelType w:val="hybridMultilevel"/>
    <w:tmpl w:val="7A9423CA"/>
    <w:lvl w:ilvl="0" w:tplc="73F4F81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10A3D8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708BF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326385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CC2501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176677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000ADE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66C07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090FBB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6C7920E0"/>
    <w:multiLevelType w:val="hybridMultilevel"/>
    <w:tmpl w:val="B7A4B104"/>
    <w:lvl w:ilvl="0" w:tplc="91CA5FF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E29068B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465A7BC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A50697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790EAD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8B41B1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7F6B47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E542A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86ABA3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6E9E6D1F"/>
    <w:multiLevelType w:val="multilevel"/>
    <w:tmpl w:val="03F40B2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6F3639B0"/>
    <w:multiLevelType w:val="hybridMultilevel"/>
    <w:tmpl w:val="920C3EE0"/>
    <w:lvl w:ilvl="0" w:tplc="66646CE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E3026E9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7C61C8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7CAFA0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FEC3B0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1B82D54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62E6A7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47292F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B9E260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9" w15:restartNumberingAfterBreak="0">
    <w:nsid w:val="79E04C43"/>
    <w:multiLevelType w:val="hybridMultilevel"/>
    <w:tmpl w:val="BF4C6ECC"/>
    <w:lvl w:ilvl="0" w:tplc="E38ADCC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B2A8504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5DCAF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CA888A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1B843D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192D0B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F66DF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82E406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06E4D1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D3E7A4E"/>
    <w:multiLevelType w:val="hybridMultilevel"/>
    <w:tmpl w:val="A0A67DAE"/>
    <w:lvl w:ilvl="0" w:tplc="0166E22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4FCCA29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892DB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A580E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D901DD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CEC81E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1BCED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ADCEC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55C2B6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2"/>
  </w:num>
  <w:num w:numId="4">
    <w:abstractNumId w:val="6"/>
  </w:num>
  <w:num w:numId="5">
    <w:abstractNumId w:val="12"/>
  </w:num>
  <w:num w:numId="6">
    <w:abstractNumId w:val="31"/>
  </w:num>
  <w:num w:numId="7">
    <w:abstractNumId w:val="40"/>
  </w:num>
  <w:num w:numId="8">
    <w:abstractNumId w:val="28"/>
  </w:num>
  <w:num w:numId="9">
    <w:abstractNumId w:val="13"/>
  </w:num>
  <w:num w:numId="10">
    <w:abstractNumId w:val="7"/>
  </w:num>
  <w:num w:numId="11">
    <w:abstractNumId w:val="25"/>
  </w:num>
  <w:num w:numId="12">
    <w:abstractNumId w:val="20"/>
  </w:num>
  <w:num w:numId="13">
    <w:abstractNumId w:val="16"/>
  </w:num>
  <w:num w:numId="14">
    <w:abstractNumId w:val="23"/>
  </w:num>
  <w:num w:numId="15">
    <w:abstractNumId w:val="22"/>
  </w:num>
  <w:num w:numId="16">
    <w:abstractNumId w:val="29"/>
  </w:num>
  <w:num w:numId="17">
    <w:abstractNumId w:val="5"/>
  </w:num>
  <w:num w:numId="18">
    <w:abstractNumId w:val="34"/>
  </w:num>
  <w:num w:numId="19">
    <w:abstractNumId w:val="30"/>
  </w:num>
  <w:num w:numId="20">
    <w:abstractNumId w:val="35"/>
  </w:num>
  <w:num w:numId="21">
    <w:abstractNumId w:val="3"/>
  </w:num>
  <w:num w:numId="22">
    <w:abstractNumId w:val="10"/>
  </w:num>
  <w:num w:numId="23">
    <w:abstractNumId w:val="36"/>
  </w:num>
  <w:num w:numId="24">
    <w:abstractNumId w:val="14"/>
  </w:num>
  <w:num w:numId="25">
    <w:abstractNumId w:val="18"/>
  </w:num>
  <w:num w:numId="26">
    <w:abstractNumId w:val="24"/>
  </w:num>
  <w:num w:numId="27">
    <w:abstractNumId w:val="21"/>
  </w:num>
  <w:num w:numId="28">
    <w:abstractNumId w:val="9"/>
  </w:num>
  <w:num w:numId="29">
    <w:abstractNumId w:val="0"/>
  </w:num>
  <w:num w:numId="30">
    <w:abstractNumId w:val="8"/>
  </w:num>
  <w:num w:numId="31">
    <w:abstractNumId w:val="37"/>
  </w:num>
  <w:num w:numId="32">
    <w:abstractNumId w:val="4"/>
  </w:num>
  <w:num w:numId="33">
    <w:abstractNumId w:val="32"/>
  </w:num>
  <w:num w:numId="34">
    <w:abstractNumId w:val="1"/>
  </w:num>
  <w:num w:numId="35">
    <w:abstractNumId w:val="38"/>
  </w:num>
  <w:num w:numId="36">
    <w:abstractNumId w:val="26"/>
  </w:num>
  <w:num w:numId="37">
    <w:abstractNumId w:val="19"/>
  </w:num>
  <w:num w:numId="38">
    <w:abstractNumId w:val="17"/>
  </w:num>
  <w:num w:numId="39">
    <w:abstractNumId w:val="15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100,0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25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p&gt;&lt;span style=&quot;font-size: 12pt;&quot;&gt;Viz. podrobnější popis výše. V&amp;nbsp;dnešní ,,divné“ a neklidné době je potřeba podobných akcí a realizací co nejvíce. Naše lázně jsou dále jednou z&amp;nbsp;nejnavštěvovanějších obcí v&amp;nbsp;celém Královéhradeckém kraji. Už u minulém roce, kdy ustoupil kovid se k nám začali návštěvníci vracet. Hned naše obec ožila.&amp;nbsp;&lt;/span&gt;&lt;/p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Jiří  Lebedinkský"/>
    <w:docVar w:name="DotisReqStatOrgName" w:val="Vladimír Flégr"/>
    <w:docVar w:name="DotisReqTotalGrant" w:val="50 000"/>
    <w:docVar w:name="DotisStartDate" w:val="01.04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4-4610551/071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Obec Velichovky"/>
    <w:docVar w:name="ProfisSubjOIN" w:val="00273155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a zátiší 1, 55211  Velichovky"/>
    <w:docVar w:name="ProfisSubjTIN" w:val="CZ64812821"/>
    <w:docVar w:name="ProfisSubjTown" w:val="Jičín"/>
    <w:docVar w:name="ProfisSubjZIP" w:val="50601"/>
    <w:docVar w:name="ProfisTaskCode" w:val="22RGI02-0131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127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Okrasné květináče a koše, vánoční betlém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794BBD"/>
    <w:rsid w:val="00794BBD"/>
    <w:rsid w:val="009901CA"/>
    <w:rsid w:val="00A5790B"/>
    <w:rsid w:val="00AF05FC"/>
    <w:rsid w:val="00D7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060B"/>
  <w15:docId w15:val="{D7ECA12E-1772-4E96-9BF1-0EDC9DCD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2294</Words>
  <Characters>13541</Characters>
  <Application>Microsoft Office Word</Application>
  <DocSecurity>0</DocSecurity>
  <Lines>112</Lines>
  <Paragraphs>31</Paragraphs>
  <ScaleCrop>false</ScaleCrop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dcterms:created xsi:type="dcterms:W3CDTF">2022-05-06T12:19:00Z</dcterms:created>
  <dcterms:modified xsi:type="dcterms:W3CDTF">2022-05-06T12:19:00Z</dcterms:modified>
</cp:coreProperties>
</file>