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9C90" w14:textId="77777777" w:rsidR="001C1B77" w:rsidRPr="00F015ED" w:rsidRDefault="001C1B77" w:rsidP="001D58B1">
      <w:pPr>
        <w:spacing w:after="0" w:line="240" w:lineRule="auto"/>
        <w:jc w:val="both"/>
        <w:rPr>
          <w:rFonts w:ascii="Arial" w:hAnsi="Arial" w:cs="Arial"/>
          <w:b/>
        </w:rPr>
      </w:pPr>
      <w:r w:rsidRPr="00F015ED">
        <w:rPr>
          <w:rFonts w:ascii="Arial" w:hAnsi="Arial" w:cs="Arial"/>
          <w:b/>
        </w:rPr>
        <w:t>WHISTLEBLOWING</w:t>
      </w:r>
    </w:p>
    <w:p w14:paraId="26AF5757" w14:textId="77777777" w:rsidR="00AF3AF8" w:rsidRDefault="00AF3AF8" w:rsidP="001D58B1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13599C91" w14:textId="1FEEC95A" w:rsidR="00495FBC" w:rsidRPr="00F015ED" w:rsidRDefault="00A15D63" w:rsidP="001D58B1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F015ED">
        <w:rPr>
          <w:rFonts w:ascii="Arial" w:hAnsi="Arial" w:cs="Arial"/>
          <w:u w:val="single"/>
        </w:rPr>
        <w:t>O</w:t>
      </w:r>
      <w:r w:rsidR="001C1B77" w:rsidRPr="00F015ED">
        <w:rPr>
          <w:rFonts w:ascii="Arial" w:hAnsi="Arial" w:cs="Arial"/>
          <w:u w:val="single"/>
        </w:rPr>
        <w:t>znamování škodlivého jednání</w:t>
      </w:r>
    </w:p>
    <w:p w14:paraId="13599C93" w14:textId="368988BE" w:rsidR="00A2575C" w:rsidRPr="00F015ED" w:rsidRDefault="00A2575C" w:rsidP="001D58B1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F015ED">
        <w:rPr>
          <w:rFonts w:ascii="Arial" w:hAnsi="Arial" w:cs="Arial"/>
        </w:rPr>
        <w:t>Královéhradecký kraj má nastaven vnitřní oznamovací systém pro příjem a vyřizování oznámení podaných v</w:t>
      </w:r>
      <w:r w:rsidR="00A81AE8" w:rsidRPr="00F015ED">
        <w:rPr>
          <w:rFonts w:ascii="Arial" w:hAnsi="Arial" w:cs="Arial"/>
        </w:rPr>
        <w:t> </w:t>
      </w:r>
      <w:r w:rsidRPr="00F015ED">
        <w:rPr>
          <w:rFonts w:ascii="Arial" w:hAnsi="Arial" w:cs="Arial"/>
        </w:rPr>
        <w:t>souladu</w:t>
      </w:r>
      <w:r w:rsidR="00A81AE8" w:rsidRPr="00F015ED">
        <w:rPr>
          <w:rFonts w:ascii="Arial" w:hAnsi="Arial" w:cs="Arial"/>
        </w:rPr>
        <w:t xml:space="preserve"> se zákonem číslo 171/2023 Sb., o ochraně oznamovatelů, v platném znění (dále jen „zákon“)</w:t>
      </w:r>
      <w:r w:rsidRPr="00F015ED">
        <w:rPr>
          <w:rFonts w:ascii="Arial" w:hAnsi="Arial" w:cs="Arial"/>
        </w:rPr>
        <w:t xml:space="preserve"> se směrnicí Evropského parlamentu a Rady (EU) 2019/1937 ze dne 23</w:t>
      </w:r>
      <w:r w:rsidR="00A15D63" w:rsidRPr="00F015ED">
        <w:rPr>
          <w:rFonts w:ascii="Arial" w:hAnsi="Arial" w:cs="Arial"/>
        </w:rPr>
        <w:t>. </w:t>
      </w:r>
      <w:r w:rsidRPr="00F015ED">
        <w:rPr>
          <w:rFonts w:ascii="Arial" w:hAnsi="Arial" w:cs="Arial"/>
        </w:rPr>
        <w:t>října 2019, o ochraně osob, které oznamují porušení práva Unie</w:t>
      </w:r>
      <w:r w:rsidR="00A15D63" w:rsidRPr="00F015ED">
        <w:rPr>
          <w:rFonts w:ascii="Arial" w:hAnsi="Arial" w:cs="Arial"/>
        </w:rPr>
        <w:t xml:space="preserve"> (dále též „Směrnice</w:t>
      </w:r>
      <w:r w:rsidR="0016018E" w:rsidRPr="00F015ED">
        <w:rPr>
          <w:rFonts w:ascii="Arial" w:hAnsi="Arial" w:cs="Arial"/>
        </w:rPr>
        <w:t xml:space="preserve"> (EU) 2019/1937</w:t>
      </w:r>
      <w:r w:rsidR="0000653C" w:rsidRPr="00F015ED">
        <w:rPr>
          <w:rFonts w:ascii="Arial" w:hAnsi="Arial" w:cs="Arial"/>
        </w:rPr>
        <w:t>“</w:t>
      </w:r>
      <w:r w:rsidR="00A15D63" w:rsidRPr="00F015ED">
        <w:rPr>
          <w:rFonts w:ascii="Arial" w:hAnsi="Arial" w:cs="Arial"/>
        </w:rPr>
        <w:t>)</w:t>
      </w:r>
      <w:r w:rsidRPr="00F015ED">
        <w:rPr>
          <w:rFonts w:ascii="Arial" w:hAnsi="Arial" w:cs="Arial"/>
        </w:rPr>
        <w:t>.</w:t>
      </w:r>
    </w:p>
    <w:p w14:paraId="13599C94" w14:textId="77777777" w:rsidR="00576317" w:rsidRPr="00F015ED" w:rsidRDefault="00576317" w:rsidP="001D58B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3599C95" w14:textId="77777777" w:rsidR="00202AFD" w:rsidRPr="00F015ED" w:rsidRDefault="0016018E" w:rsidP="001D58B1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F015ED">
        <w:rPr>
          <w:rFonts w:ascii="Arial" w:hAnsi="Arial" w:cs="Arial"/>
          <w:u w:val="single"/>
        </w:rPr>
        <w:t xml:space="preserve">Věcná působnost </w:t>
      </w:r>
    </w:p>
    <w:p w14:paraId="7FF00CEA" w14:textId="77777777" w:rsidR="00F015ED" w:rsidRPr="00F015ED" w:rsidRDefault="00F015ED" w:rsidP="001D58B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Oznámení obsahuje informace o možném protiprávním jednání, k němuž došlo nebo má dojít u Královéhradeckého kraje, nebo u osoby, se kterou oznamovatel byl nebo je v kontaktu v souvislosti s výkonem práce nebo jiné obdobné činnosti u Královéhradeckého kraje a které</w:t>
      </w:r>
    </w:p>
    <w:p w14:paraId="372C5F20" w14:textId="77777777" w:rsidR="00F015ED" w:rsidRPr="00F015ED" w:rsidRDefault="00F015ED" w:rsidP="001D58B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má znaky trestného činu,</w:t>
      </w:r>
    </w:p>
    <w:p w14:paraId="3C4A1AAE" w14:textId="77777777" w:rsidR="00F015ED" w:rsidRPr="00F015ED" w:rsidRDefault="00F015ED" w:rsidP="001D58B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má znaky přestupku, za který zákon stanoví sazbu pokuty, jejíž horní hranice je alespoň 100 000 Kč,</w:t>
      </w:r>
    </w:p>
    <w:p w14:paraId="01EE46B4" w14:textId="77777777" w:rsidR="00F015ED" w:rsidRPr="00F015ED" w:rsidRDefault="00F015ED" w:rsidP="001D58B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porušuje zákon o ochraně oznamovatelů nebo</w:t>
      </w:r>
    </w:p>
    <w:p w14:paraId="2D1B116D" w14:textId="77777777" w:rsidR="00F015ED" w:rsidRPr="00F015ED" w:rsidRDefault="00F015ED" w:rsidP="001D58B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porušuje jiný právní předpis nebo předpis Evropské unie v oblasti</w:t>
      </w:r>
    </w:p>
    <w:p w14:paraId="5DEC83F5" w14:textId="77777777" w:rsidR="00F015ED" w:rsidRPr="00F015ED" w:rsidRDefault="00F015ED" w:rsidP="001D58B1">
      <w:pPr>
        <w:spacing w:after="0" w:line="240" w:lineRule="auto"/>
        <w:ind w:left="1134" w:hanging="424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1.</w:t>
      </w:r>
      <w:r w:rsidRPr="00F015ED">
        <w:rPr>
          <w:rFonts w:ascii="Arial" w:hAnsi="Arial" w:cs="Arial"/>
        </w:rPr>
        <w:tab/>
        <w:t>finančních služeb, povinného auditu a jiných ověřovacích služeb, finančních produktů a finančních trhů,</w:t>
      </w:r>
    </w:p>
    <w:p w14:paraId="558F30B0" w14:textId="00653727" w:rsidR="00F015ED" w:rsidRPr="00F015ED" w:rsidRDefault="00F015ED" w:rsidP="001D58B1">
      <w:pPr>
        <w:spacing w:after="0" w:line="240" w:lineRule="auto"/>
        <w:ind w:left="1134" w:hanging="424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 xml:space="preserve">2.  </w:t>
      </w:r>
      <w:r>
        <w:rPr>
          <w:rFonts w:ascii="Arial" w:hAnsi="Arial" w:cs="Arial"/>
        </w:rPr>
        <w:tab/>
      </w:r>
      <w:r w:rsidRPr="00F015ED">
        <w:rPr>
          <w:rFonts w:ascii="Arial" w:hAnsi="Arial" w:cs="Arial"/>
        </w:rPr>
        <w:t>daně z příjmů právnických osob,</w:t>
      </w:r>
    </w:p>
    <w:p w14:paraId="714BA2E1" w14:textId="77777777" w:rsidR="00F015ED" w:rsidRPr="00F015ED" w:rsidRDefault="00F015ED" w:rsidP="001D58B1">
      <w:pPr>
        <w:spacing w:after="0" w:line="240" w:lineRule="auto"/>
        <w:ind w:left="1134" w:hanging="424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3.</w:t>
      </w:r>
      <w:r w:rsidRPr="00F015ED">
        <w:rPr>
          <w:rFonts w:ascii="Arial" w:hAnsi="Arial" w:cs="Arial"/>
        </w:rPr>
        <w:tab/>
        <w:t>předcházení legalizaci výnosů z trestné činnosti a financování terorismu,</w:t>
      </w:r>
    </w:p>
    <w:p w14:paraId="7DB494DC" w14:textId="77777777" w:rsidR="00F015ED" w:rsidRPr="00F015ED" w:rsidRDefault="00F015ED" w:rsidP="001D58B1">
      <w:pPr>
        <w:spacing w:after="0" w:line="240" w:lineRule="auto"/>
        <w:ind w:left="1134" w:hanging="424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4.</w:t>
      </w:r>
      <w:r w:rsidRPr="00F015ED">
        <w:rPr>
          <w:rFonts w:ascii="Arial" w:hAnsi="Arial" w:cs="Arial"/>
        </w:rPr>
        <w:tab/>
        <w:t>ochrany spotřebitele,</w:t>
      </w:r>
    </w:p>
    <w:p w14:paraId="13BFB755" w14:textId="77777777" w:rsidR="00F015ED" w:rsidRPr="00F015ED" w:rsidRDefault="00F015ED" w:rsidP="001D58B1">
      <w:pPr>
        <w:spacing w:after="0" w:line="240" w:lineRule="auto"/>
        <w:ind w:left="1134" w:hanging="424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5.</w:t>
      </w:r>
      <w:r w:rsidRPr="00F015ED">
        <w:rPr>
          <w:rFonts w:ascii="Arial" w:hAnsi="Arial" w:cs="Arial"/>
        </w:rPr>
        <w:tab/>
        <w:t>souladu s požadavky na výrobky včetně jejich bezpečnosti,</w:t>
      </w:r>
    </w:p>
    <w:p w14:paraId="3CE8F1A6" w14:textId="77777777" w:rsidR="00F015ED" w:rsidRPr="00F015ED" w:rsidRDefault="00F015ED" w:rsidP="001D58B1">
      <w:pPr>
        <w:spacing w:after="0" w:line="240" w:lineRule="auto"/>
        <w:ind w:left="1134" w:hanging="424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6.</w:t>
      </w:r>
      <w:r w:rsidRPr="00F015ED">
        <w:rPr>
          <w:rFonts w:ascii="Arial" w:hAnsi="Arial" w:cs="Arial"/>
        </w:rPr>
        <w:tab/>
        <w:t>bezpečnosti dopravy, přepravy a provozu na pozemních komunikacích,</w:t>
      </w:r>
    </w:p>
    <w:p w14:paraId="4F8B48DE" w14:textId="77777777" w:rsidR="00F015ED" w:rsidRPr="00F015ED" w:rsidRDefault="00F015ED" w:rsidP="001D58B1">
      <w:pPr>
        <w:spacing w:after="0" w:line="240" w:lineRule="auto"/>
        <w:ind w:left="1134" w:hanging="424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7.</w:t>
      </w:r>
      <w:r w:rsidRPr="00F015ED">
        <w:rPr>
          <w:rFonts w:ascii="Arial" w:hAnsi="Arial" w:cs="Arial"/>
        </w:rPr>
        <w:tab/>
        <w:t>ochrany životního prostředí,</w:t>
      </w:r>
    </w:p>
    <w:p w14:paraId="2D774524" w14:textId="77777777" w:rsidR="00F015ED" w:rsidRPr="00F015ED" w:rsidRDefault="00F015ED" w:rsidP="001D58B1">
      <w:pPr>
        <w:spacing w:after="0" w:line="240" w:lineRule="auto"/>
        <w:ind w:left="1134" w:hanging="424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8.</w:t>
      </w:r>
      <w:r w:rsidRPr="00F015ED">
        <w:rPr>
          <w:rFonts w:ascii="Arial" w:hAnsi="Arial" w:cs="Arial"/>
        </w:rPr>
        <w:tab/>
        <w:t>bezpečnosti potravin a krmiv a ochrany zvířat a jejich zdraví,</w:t>
      </w:r>
    </w:p>
    <w:p w14:paraId="53A43D69" w14:textId="77777777" w:rsidR="00F015ED" w:rsidRPr="00F015ED" w:rsidRDefault="00F015ED" w:rsidP="001D58B1">
      <w:pPr>
        <w:spacing w:after="0" w:line="240" w:lineRule="auto"/>
        <w:ind w:left="1134" w:hanging="424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9.</w:t>
      </w:r>
      <w:r w:rsidRPr="00F015ED">
        <w:rPr>
          <w:rFonts w:ascii="Arial" w:hAnsi="Arial" w:cs="Arial"/>
        </w:rPr>
        <w:tab/>
        <w:t>radiační ochrany a jaderné bezpečnosti,</w:t>
      </w:r>
    </w:p>
    <w:p w14:paraId="5ED4BBFC" w14:textId="460175EF" w:rsidR="00F015ED" w:rsidRPr="00F015ED" w:rsidRDefault="00F015ED" w:rsidP="001D58B1">
      <w:pPr>
        <w:spacing w:after="0" w:line="240" w:lineRule="auto"/>
        <w:ind w:left="1134" w:hanging="424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015ED">
        <w:rPr>
          <w:rFonts w:ascii="Arial" w:hAnsi="Arial" w:cs="Arial"/>
        </w:rPr>
        <w:t>hospodářské soutěže, veřejných dražeb a zadávání veřejných zakázek,</w:t>
      </w:r>
    </w:p>
    <w:p w14:paraId="223CA065" w14:textId="41163674" w:rsidR="00F015ED" w:rsidRPr="00F015ED" w:rsidRDefault="00F015ED" w:rsidP="001D58B1">
      <w:pPr>
        <w:spacing w:after="0" w:line="240" w:lineRule="auto"/>
        <w:ind w:left="1134" w:hanging="424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015ED">
        <w:rPr>
          <w:rFonts w:ascii="Arial" w:hAnsi="Arial" w:cs="Arial"/>
        </w:rPr>
        <w:t>ochrany vnitřního pořádku a bezpečnosti, života a zdraví,</w:t>
      </w:r>
    </w:p>
    <w:p w14:paraId="0AE2011C" w14:textId="0C33E632" w:rsidR="00F015ED" w:rsidRPr="00F015ED" w:rsidRDefault="00F015ED" w:rsidP="001D58B1">
      <w:pPr>
        <w:spacing w:after="0" w:line="240" w:lineRule="auto"/>
        <w:ind w:left="1134" w:hanging="424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015ED">
        <w:rPr>
          <w:rFonts w:ascii="Arial" w:hAnsi="Arial" w:cs="Arial"/>
        </w:rPr>
        <w:t xml:space="preserve">ochrany osobních údajů, soukromí a bezpečnosti sítí elektronických komunikací </w:t>
      </w:r>
      <w:r>
        <w:rPr>
          <w:rFonts w:ascii="Arial" w:hAnsi="Arial" w:cs="Arial"/>
        </w:rPr>
        <w:t xml:space="preserve">  </w:t>
      </w:r>
      <w:r w:rsidRPr="00F015ED">
        <w:rPr>
          <w:rFonts w:ascii="Arial" w:hAnsi="Arial" w:cs="Arial"/>
        </w:rPr>
        <w:t>a informačních systémů,</w:t>
      </w:r>
    </w:p>
    <w:p w14:paraId="1B514E6A" w14:textId="3E12CEC7" w:rsidR="00F015ED" w:rsidRPr="00F015ED" w:rsidRDefault="00F015ED" w:rsidP="001D58B1">
      <w:pPr>
        <w:spacing w:after="0" w:line="240" w:lineRule="auto"/>
        <w:ind w:left="1134" w:hanging="424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13.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015ED">
        <w:rPr>
          <w:rFonts w:ascii="Arial" w:hAnsi="Arial" w:cs="Arial"/>
        </w:rPr>
        <w:t>ochrany finančních zájmů Evropské unie</w:t>
      </w:r>
      <w:r w:rsidRPr="00F015ED">
        <w:rPr>
          <w:rFonts w:ascii="Arial" w:hAnsi="Arial" w:cs="Arial"/>
          <w:vertAlign w:val="superscript"/>
        </w:rPr>
        <w:footnoteReference w:id="1"/>
      </w:r>
      <w:r w:rsidRPr="00F015ED">
        <w:rPr>
          <w:rFonts w:ascii="Arial" w:hAnsi="Arial" w:cs="Arial"/>
          <w:vertAlign w:val="superscript"/>
        </w:rPr>
        <w:t>)</w:t>
      </w:r>
      <w:r w:rsidRPr="00F015ED">
        <w:rPr>
          <w:rFonts w:ascii="Arial" w:hAnsi="Arial" w:cs="Arial"/>
        </w:rPr>
        <w:t>, nebo</w:t>
      </w:r>
    </w:p>
    <w:p w14:paraId="1939F7AD" w14:textId="72936E20" w:rsidR="00F015ED" w:rsidRPr="00F015ED" w:rsidRDefault="00F015ED" w:rsidP="001D58B1">
      <w:pPr>
        <w:spacing w:after="0" w:line="240" w:lineRule="auto"/>
        <w:ind w:left="1134" w:hanging="424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14.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015ED">
        <w:rPr>
          <w:rFonts w:ascii="Arial" w:hAnsi="Arial" w:cs="Arial"/>
        </w:rPr>
        <w:t>fungování vnitřního trhu</w:t>
      </w:r>
      <w:r w:rsidRPr="00F015ED">
        <w:rPr>
          <w:rFonts w:ascii="Arial" w:hAnsi="Arial" w:cs="Arial"/>
          <w:vertAlign w:val="superscript"/>
        </w:rPr>
        <w:footnoteReference w:id="2"/>
      </w:r>
      <w:r w:rsidRPr="00F015ED">
        <w:rPr>
          <w:rFonts w:ascii="Arial" w:hAnsi="Arial" w:cs="Arial"/>
          <w:vertAlign w:val="superscript"/>
        </w:rPr>
        <w:t>)</w:t>
      </w:r>
      <w:r w:rsidRPr="00F015ED">
        <w:rPr>
          <w:rFonts w:ascii="Arial" w:hAnsi="Arial" w:cs="Arial"/>
        </w:rPr>
        <w:t xml:space="preserve"> včetně ochrany hospodářské soutěže a státní podpory podle práva Evropské unie.</w:t>
      </w:r>
    </w:p>
    <w:p w14:paraId="70A662D6" w14:textId="77777777" w:rsidR="00F015ED" w:rsidRDefault="00F015ED" w:rsidP="001D58B1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13599CA1" w14:textId="1CF4A68E" w:rsidR="00202AFD" w:rsidRPr="00F015ED" w:rsidRDefault="00202AFD" w:rsidP="001D58B1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F015ED">
        <w:rPr>
          <w:rFonts w:ascii="Arial" w:hAnsi="Arial" w:cs="Arial"/>
          <w:u w:val="single"/>
        </w:rPr>
        <w:t xml:space="preserve">Osobní působnost </w:t>
      </w:r>
    </w:p>
    <w:p w14:paraId="496270D6" w14:textId="7D08DA3D" w:rsidR="007D55E4" w:rsidRPr="007D55E4" w:rsidRDefault="00202AFD" w:rsidP="001D58B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Oznamovatelem</w:t>
      </w:r>
      <w:r w:rsidR="00904476" w:rsidRPr="00F015ED">
        <w:rPr>
          <w:rFonts w:ascii="Arial" w:hAnsi="Arial" w:cs="Arial"/>
        </w:rPr>
        <w:t xml:space="preserve"> ve smyslu</w:t>
      </w:r>
      <w:r w:rsidR="00F015ED">
        <w:rPr>
          <w:rFonts w:ascii="Arial" w:hAnsi="Arial" w:cs="Arial"/>
        </w:rPr>
        <w:t xml:space="preserve"> zákona a</w:t>
      </w:r>
      <w:r w:rsidR="00904476" w:rsidRPr="00F015ED">
        <w:rPr>
          <w:rFonts w:ascii="Arial" w:hAnsi="Arial" w:cs="Arial"/>
        </w:rPr>
        <w:t xml:space="preserve"> Směrnice (EU) 2019/1937</w:t>
      </w:r>
      <w:r w:rsidRPr="00F015ED">
        <w:rPr>
          <w:rFonts w:ascii="Arial" w:hAnsi="Arial" w:cs="Arial"/>
        </w:rPr>
        <w:t xml:space="preserve"> </w:t>
      </w:r>
      <w:r w:rsidR="00904476" w:rsidRPr="00F015ED">
        <w:rPr>
          <w:rFonts w:ascii="Arial" w:hAnsi="Arial" w:cs="Arial"/>
        </w:rPr>
        <w:t xml:space="preserve">se rozumí fyzická osoba, která se v souvislosti s prací </w:t>
      </w:r>
      <w:r w:rsidR="002B799B">
        <w:rPr>
          <w:rFonts w:ascii="Arial" w:hAnsi="Arial" w:cs="Arial"/>
        </w:rPr>
        <w:t xml:space="preserve">u Královéhradeckého kraje </w:t>
      </w:r>
      <w:r w:rsidR="00904476" w:rsidRPr="00F015ED">
        <w:rPr>
          <w:rFonts w:ascii="Arial" w:hAnsi="Arial" w:cs="Arial"/>
        </w:rPr>
        <w:t>nebo jinou obdobnou činností</w:t>
      </w:r>
      <w:r w:rsidR="007D55E4">
        <w:rPr>
          <w:rFonts w:ascii="Arial" w:hAnsi="Arial" w:cs="Arial"/>
        </w:rPr>
        <w:t xml:space="preserve"> dle</w:t>
      </w:r>
      <w:r w:rsidR="002B799B">
        <w:rPr>
          <w:rFonts w:ascii="Arial" w:hAnsi="Arial" w:cs="Arial"/>
        </w:rPr>
        <w:t> </w:t>
      </w:r>
      <w:r w:rsidR="007D55E4">
        <w:rPr>
          <w:rFonts w:ascii="Arial" w:hAnsi="Arial" w:cs="Arial"/>
        </w:rPr>
        <w:t>zákona (</w:t>
      </w:r>
      <w:r w:rsidR="00AF3AF8">
        <w:rPr>
          <w:rFonts w:ascii="Arial" w:hAnsi="Arial" w:cs="Arial"/>
        </w:rPr>
        <w:t>§ 2 odst. 3</w:t>
      </w:r>
      <w:r w:rsidR="00CB04C8">
        <w:rPr>
          <w:rFonts w:ascii="Arial" w:hAnsi="Arial" w:cs="Arial"/>
        </w:rPr>
        <w:t xml:space="preserve"> písm. a/ až </w:t>
      </w:r>
      <w:r w:rsidR="00C52927">
        <w:rPr>
          <w:rFonts w:ascii="Arial" w:hAnsi="Arial" w:cs="Arial"/>
        </w:rPr>
        <w:t>j</w:t>
      </w:r>
      <w:r w:rsidR="00CB04C8">
        <w:rPr>
          <w:rFonts w:ascii="Arial" w:hAnsi="Arial" w:cs="Arial"/>
        </w:rPr>
        <w:t>/</w:t>
      </w:r>
      <w:r w:rsidR="00AF3AF8">
        <w:rPr>
          <w:rFonts w:ascii="Arial" w:hAnsi="Arial" w:cs="Arial"/>
        </w:rPr>
        <w:t xml:space="preserve"> zejména výkon práv spojených s účastí v právnické osobě či výkon funkce v právnické osobě, </w:t>
      </w:r>
      <w:r w:rsidR="007D55E4">
        <w:rPr>
          <w:rFonts w:ascii="Arial" w:hAnsi="Arial" w:cs="Arial"/>
        </w:rPr>
        <w:t>dobrovolnická činnost, odborná praxe, stáž apod.)</w:t>
      </w:r>
      <w:r w:rsidR="00904476" w:rsidRPr="00F015ED">
        <w:rPr>
          <w:rFonts w:ascii="Arial" w:hAnsi="Arial" w:cs="Arial"/>
        </w:rPr>
        <w:t xml:space="preserve"> dozvěděla o protiprávním jednání, které</w:t>
      </w:r>
      <w:r w:rsidR="00AF3AF8">
        <w:rPr>
          <w:rFonts w:ascii="Arial" w:hAnsi="Arial" w:cs="Arial"/>
        </w:rPr>
        <w:t> </w:t>
      </w:r>
      <w:r w:rsidR="00904476" w:rsidRPr="00F015ED">
        <w:rPr>
          <w:rFonts w:ascii="Arial" w:hAnsi="Arial" w:cs="Arial"/>
        </w:rPr>
        <w:t>porušuje právní předpis spadající do jedné z vymezených oblastí uvedených výše. Musí tak být zachován tzv. pracovní kontext.</w:t>
      </w:r>
      <w:r w:rsidR="007D55E4">
        <w:rPr>
          <w:rFonts w:ascii="Arial" w:hAnsi="Arial" w:cs="Arial"/>
        </w:rPr>
        <w:t xml:space="preserve"> </w:t>
      </w:r>
      <w:r w:rsidR="007D55E4" w:rsidRPr="007D55E4">
        <w:rPr>
          <w:rFonts w:ascii="Arial" w:hAnsi="Arial" w:cs="Arial"/>
        </w:rPr>
        <w:t>K</w:t>
      </w:r>
      <w:r w:rsidR="007D55E4">
        <w:rPr>
          <w:rFonts w:ascii="Arial" w:hAnsi="Arial" w:cs="Arial"/>
        </w:rPr>
        <w:t>rálovéhradecký k</w:t>
      </w:r>
      <w:r w:rsidR="007D55E4" w:rsidRPr="007D55E4">
        <w:rPr>
          <w:rFonts w:ascii="Arial" w:hAnsi="Arial" w:cs="Arial"/>
        </w:rPr>
        <w:t>raj vylučuje přijímání oznámení od osoby, která pro</w:t>
      </w:r>
      <w:r w:rsidR="00307676">
        <w:rPr>
          <w:rFonts w:ascii="Arial" w:hAnsi="Arial" w:cs="Arial"/>
        </w:rPr>
        <w:t> </w:t>
      </w:r>
      <w:r w:rsidR="007D55E4" w:rsidRPr="007D55E4">
        <w:rPr>
          <w:rFonts w:ascii="Arial" w:hAnsi="Arial" w:cs="Arial"/>
        </w:rPr>
        <w:t>něj nevykonává práci nebo jinou obdobnou činnost dle</w:t>
      </w:r>
      <w:r w:rsidR="00C52927">
        <w:rPr>
          <w:rFonts w:ascii="Arial" w:hAnsi="Arial" w:cs="Arial"/>
        </w:rPr>
        <w:t> </w:t>
      </w:r>
      <w:r w:rsidR="007D55E4" w:rsidRPr="007D55E4">
        <w:rPr>
          <w:rFonts w:ascii="Arial" w:hAnsi="Arial" w:cs="Arial"/>
        </w:rPr>
        <w:t xml:space="preserve">zákona. </w:t>
      </w:r>
      <w:r w:rsidR="00CB04C8" w:rsidRPr="00CB04C8">
        <w:rPr>
          <w:rFonts w:ascii="Arial" w:hAnsi="Arial" w:cs="Arial"/>
        </w:rPr>
        <w:t>Anonymní oznámení budou vyřizována mimo režim zákona.</w:t>
      </w:r>
      <w:r w:rsidR="007D55E4" w:rsidRPr="007D55E4">
        <w:rPr>
          <w:rFonts w:ascii="Arial" w:hAnsi="Arial" w:cs="Arial"/>
        </w:rPr>
        <w:t xml:space="preserve">   </w:t>
      </w:r>
    </w:p>
    <w:p w14:paraId="13599CA4" w14:textId="77777777" w:rsidR="00904476" w:rsidRPr="00F015ED" w:rsidRDefault="00904476" w:rsidP="001D58B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3599CA5" w14:textId="77777777" w:rsidR="00A2575C" w:rsidRPr="00F015ED" w:rsidRDefault="00A2575C" w:rsidP="001D58B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  <w:u w:val="single"/>
        </w:rPr>
        <w:t>Příslušnou osobou</w:t>
      </w:r>
      <w:r w:rsidRPr="00F015ED">
        <w:rPr>
          <w:rFonts w:ascii="Arial" w:hAnsi="Arial" w:cs="Arial"/>
        </w:rPr>
        <w:t>, která přijímá a zkoumá oznámení, případně navrhuje opatření k nápravě zjištěného protiprávního stavu je:</w:t>
      </w:r>
    </w:p>
    <w:p w14:paraId="13599CA6" w14:textId="498E6D17" w:rsidR="00A2575C" w:rsidRPr="00F015ED" w:rsidRDefault="00A2575C" w:rsidP="001D58B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F015ED">
        <w:rPr>
          <w:rFonts w:ascii="Arial" w:hAnsi="Arial" w:cs="Arial"/>
        </w:rPr>
        <w:tab/>
      </w:r>
      <w:r w:rsidRPr="00F015ED">
        <w:rPr>
          <w:rFonts w:ascii="Arial" w:hAnsi="Arial" w:cs="Arial"/>
          <w:b/>
        </w:rPr>
        <w:t xml:space="preserve">Mgr. </w:t>
      </w:r>
      <w:r w:rsidR="00F015ED">
        <w:rPr>
          <w:rFonts w:ascii="Arial" w:hAnsi="Arial" w:cs="Arial"/>
          <w:b/>
        </w:rPr>
        <w:t>Vladimír Kučera</w:t>
      </w:r>
    </w:p>
    <w:p w14:paraId="647E2F4F" w14:textId="572E1A17" w:rsidR="00CB04C8" w:rsidRDefault="00CB04C8" w:rsidP="001D58B1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</w:rPr>
      </w:pPr>
      <w:bookmarkStart w:id="0" w:name="_Hlk140064177"/>
      <w:r>
        <w:rPr>
          <w:rFonts w:ascii="Arial" w:hAnsi="Arial" w:cs="Arial"/>
          <w:b/>
        </w:rPr>
        <w:t>kancelář P1.102 v sídle krajského úřadu</w:t>
      </w:r>
    </w:p>
    <w:bookmarkEnd w:id="0"/>
    <w:p w14:paraId="13599CA7" w14:textId="3F7AC902" w:rsidR="00A2575C" w:rsidRDefault="00A2575C" w:rsidP="001D58B1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</w:rPr>
      </w:pPr>
      <w:r w:rsidRPr="00F015ED">
        <w:rPr>
          <w:rFonts w:ascii="Arial" w:hAnsi="Arial" w:cs="Arial"/>
          <w:b/>
        </w:rPr>
        <w:t>tel. kontakt</w:t>
      </w:r>
      <w:r w:rsidRPr="00F015ED">
        <w:rPr>
          <w:rFonts w:ascii="Arial" w:hAnsi="Arial" w:cs="Arial"/>
        </w:rPr>
        <w:t xml:space="preserve"> </w:t>
      </w:r>
      <w:r w:rsidR="00F015ED" w:rsidRPr="00F015ED">
        <w:rPr>
          <w:rFonts w:ascii="Arial" w:hAnsi="Arial" w:cs="Arial"/>
          <w:b/>
        </w:rPr>
        <w:t>722 979</w:t>
      </w:r>
      <w:r w:rsidR="00F015ED">
        <w:rPr>
          <w:rFonts w:ascii="Arial" w:hAnsi="Arial" w:cs="Arial"/>
          <w:b/>
        </w:rPr>
        <w:t> </w:t>
      </w:r>
      <w:r w:rsidR="00F015ED" w:rsidRPr="00F015ED">
        <w:rPr>
          <w:rFonts w:ascii="Arial" w:hAnsi="Arial" w:cs="Arial"/>
          <w:b/>
        </w:rPr>
        <w:t>085</w:t>
      </w:r>
    </w:p>
    <w:p w14:paraId="31DD466B" w14:textId="34DBFC2D" w:rsidR="00F015ED" w:rsidRPr="00F015ED" w:rsidRDefault="00F015ED" w:rsidP="001D58B1">
      <w:pPr>
        <w:spacing w:after="0"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e-mail </w:t>
      </w:r>
      <w:hyperlink r:id="rId7" w:history="1">
        <w:r w:rsidRPr="00E13F5C">
          <w:rPr>
            <w:rStyle w:val="Hypertextovodkaz"/>
            <w:rFonts w:ascii="Arial" w:hAnsi="Arial" w:cs="Arial"/>
            <w:b/>
          </w:rPr>
          <w:t>vkucera@kr-kralovehradecky.cz</w:t>
        </w:r>
      </w:hyperlink>
      <w:r>
        <w:rPr>
          <w:rFonts w:ascii="Arial" w:hAnsi="Arial" w:cs="Arial"/>
          <w:b/>
        </w:rPr>
        <w:t xml:space="preserve"> </w:t>
      </w:r>
    </w:p>
    <w:p w14:paraId="13599CA8" w14:textId="77777777" w:rsidR="0016018E" w:rsidRPr="00F015ED" w:rsidRDefault="0016018E" w:rsidP="001D58B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3599CA9" w14:textId="77777777" w:rsidR="00A15D63" w:rsidRPr="00F015ED" w:rsidRDefault="00A15D63" w:rsidP="001D58B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015ED">
        <w:rPr>
          <w:rFonts w:ascii="Arial" w:hAnsi="Arial" w:cs="Arial"/>
        </w:rPr>
        <w:t>Oznámení přijímá výhradně příslušná osoba, v případě její nepřítomnosti její zástupc</w:t>
      </w:r>
      <w:r w:rsidR="0016018E" w:rsidRPr="00F015ED">
        <w:rPr>
          <w:rFonts w:ascii="Arial" w:hAnsi="Arial" w:cs="Arial"/>
        </w:rPr>
        <w:t>i</w:t>
      </w:r>
      <w:r w:rsidRPr="00F015ED">
        <w:rPr>
          <w:rFonts w:ascii="Arial" w:hAnsi="Arial" w:cs="Arial"/>
        </w:rPr>
        <w:t>.</w:t>
      </w:r>
    </w:p>
    <w:p w14:paraId="4DCF8C68" w14:textId="21D9686E" w:rsidR="00F015ED" w:rsidRPr="00F015ED" w:rsidRDefault="00F015ED" w:rsidP="001D58B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F015ED">
        <w:rPr>
          <w:rFonts w:ascii="Arial" w:hAnsi="Arial" w:cs="Arial"/>
        </w:rPr>
        <w:tab/>
      </w:r>
      <w:r w:rsidRPr="00F015ED">
        <w:rPr>
          <w:rFonts w:ascii="Arial" w:hAnsi="Arial" w:cs="Arial"/>
          <w:b/>
        </w:rPr>
        <w:t xml:space="preserve">Mgr. </w:t>
      </w:r>
      <w:r>
        <w:rPr>
          <w:rFonts w:ascii="Arial" w:hAnsi="Arial" w:cs="Arial"/>
          <w:b/>
        </w:rPr>
        <w:t>Alena Koukalová</w:t>
      </w:r>
    </w:p>
    <w:p w14:paraId="13AD0E3E" w14:textId="5E80EF55" w:rsidR="00CB04C8" w:rsidRDefault="00CB04C8" w:rsidP="00CB04C8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kancelář P1.101 v sídle krajského úřadu</w:t>
      </w:r>
    </w:p>
    <w:p w14:paraId="2E4A5E81" w14:textId="305D9B2D" w:rsidR="00F015ED" w:rsidRDefault="00F015ED" w:rsidP="001D58B1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</w:rPr>
      </w:pPr>
      <w:r w:rsidRPr="00F015ED">
        <w:rPr>
          <w:rFonts w:ascii="Arial" w:hAnsi="Arial" w:cs="Arial"/>
          <w:b/>
        </w:rPr>
        <w:t>tel. kontakt</w:t>
      </w:r>
      <w:r w:rsidRPr="00F015ED">
        <w:rPr>
          <w:rFonts w:ascii="Arial" w:hAnsi="Arial" w:cs="Arial"/>
        </w:rPr>
        <w:t xml:space="preserve"> </w:t>
      </w:r>
      <w:r w:rsidRPr="00F015ED">
        <w:rPr>
          <w:rFonts w:ascii="Arial" w:hAnsi="Arial" w:cs="Arial"/>
          <w:b/>
        </w:rPr>
        <w:t>606 783 015</w:t>
      </w:r>
    </w:p>
    <w:p w14:paraId="761843D7" w14:textId="578C8F43" w:rsidR="00F015ED" w:rsidRPr="00F015ED" w:rsidRDefault="00F015ED" w:rsidP="001D58B1">
      <w:pPr>
        <w:spacing w:after="0"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e-mail </w:t>
      </w:r>
      <w:hyperlink r:id="rId8" w:history="1">
        <w:r w:rsidRPr="00E13F5C">
          <w:rPr>
            <w:rStyle w:val="Hypertextovodkaz"/>
            <w:rFonts w:ascii="Arial" w:hAnsi="Arial" w:cs="Arial"/>
            <w:b/>
          </w:rPr>
          <w:t>akoukalova@kr-kralovehradecky.cz</w:t>
        </w:r>
      </w:hyperlink>
      <w:r>
        <w:rPr>
          <w:rFonts w:ascii="Arial" w:hAnsi="Arial" w:cs="Arial"/>
          <w:b/>
        </w:rPr>
        <w:t xml:space="preserve"> </w:t>
      </w:r>
    </w:p>
    <w:p w14:paraId="13599CAA" w14:textId="77777777" w:rsidR="002D6100" w:rsidRPr="00F015ED" w:rsidRDefault="002D6100" w:rsidP="001D58B1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14:paraId="13599CAB" w14:textId="77777777" w:rsidR="00904476" w:rsidRPr="00F015ED" w:rsidRDefault="00904476" w:rsidP="001D58B1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14:paraId="13599CAC" w14:textId="13491C44" w:rsidR="00A15D63" w:rsidRPr="00F015ED" w:rsidRDefault="002D6100" w:rsidP="001D58B1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F015ED">
        <w:rPr>
          <w:rFonts w:ascii="Arial" w:hAnsi="Arial" w:cs="Arial"/>
          <w:b/>
          <w:u w:val="single"/>
        </w:rPr>
        <w:t>Vnitřní oznamovací systém</w:t>
      </w:r>
      <w:r w:rsidR="00510FFD" w:rsidRPr="00F015ED">
        <w:rPr>
          <w:rFonts w:ascii="Arial" w:hAnsi="Arial" w:cs="Arial"/>
          <w:b/>
          <w:u w:val="single"/>
        </w:rPr>
        <w:t xml:space="preserve"> </w:t>
      </w:r>
    </w:p>
    <w:p w14:paraId="13599CAD" w14:textId="77777777" w:rsidR="00510FFD" w:rsidRPr="00F015ED" w:rsidRDefault="00510FFD" w:rsidP="001D58B1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14:paraId="13599CAE" w14:textId="77777777" w:rsidR="002D6100" w:rsidRPr="00F015ED" w:rsidRDefault="00510FFD" w:rsidP="001D58B1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015ED">
        <w:rPr>
          <w:rFonts w:ascii="Arial" w:hAnsi="Arial" w:cs="Arial"/>
          <w:u w:val="single"/>
        </w:rPr>
        <w:t xml:space="preserve">A. Příjem a zpracování oznámení </w:t>
      </w:r>
    </w:p>
    <w:p w14:paraId="350DF56D" w14:textId="77777777" w:rsidR="00D76128" w:rsidRPr="0018207D" w:rsidRDefault="00D76128" w:rsidP="001D58B1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8207D">
        <w:rPr>
          <w:rFonts w:ascii="Arial" w:hAnsi="Arial" w:cs="Arial"/>
        </w:rPr>
        <w:t>Oznámení je možné učinit písemně nebo ústně</w:t>
      </w:r>
      <w:r>
        <w:rPr>
          <w:rFonts w:ascii="Arial" w:hAnsi="Arial" w:cs="Arial"/>
        </w:rPr>
        <w:t>,</w:t>
      </w:r>
      <w:r w:rsidRPr="0018207D">
        <w:rPr>
          <w:rFonts w:ascii="Arial" w:hAnsi="Arial" w:cs="Arial"/>
        </w:rPr>
        <w:t xml:space="preserve"> a to i </w:t>
      </w:r>
      <w:r>
        <w:rPr>
          <w:rFonts w:ascii="Arial" w:hAnsi="Arial" w:cs="Arial"/>
        </w:rPr>
        <w:t>telefonicky nebo prostřednictvím systému hlasových zpráv</w:t>
      </w:r>
      <w:r w:rsidRPr="0018207D">
        <w:rPr>
          <w:rFonts w:ascii="Arial" w:hAnsi="Arial" w:cs="Arial"/>
        </w:rPr>
        <w:t>.</w:t>
      </w:r>
      <w:bookmarkStart w:id="1" w:name="_Hlk89091572"/>
      <w:r>
        <w:rPr>
          <w:rFonts w:ascii="Arial" w:hAnsi="Arial" w:cs="Arial"/>
        </w:rPr>
        <w:t xml:space="preserve"> Požádá-li o to oznamovatel, je příslušná osoba povinna oznámení přijmout osobně v přiměřené lhůtě, nejdéle však do 14 dnů ode dne, kdy o to oznamovatel požádal. </w:t>
      </w:r>
    </w:p>
    <w:p w14:paraId="738D2DF6" w14:textId="77777777" w:rsidR="00D76128" w:rsidRPr="0018207D" w:rsidRDefault="00D76128" w:rsidP="001D58B1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2" w:name="_Hlk89092132"/>
      <w:r>
        <w:rPr>
          <w:rFonts w:ascii="Arial" w:hAnsi="Arial" w:cs="Arial"/>
        </w:rPr>
        <w:t>O ústním oznámení pořídí příslušná osoba jeho zvukovou nahrávku nebo záznam, který věrně zachycuje podstatu ústního oznámení. Zvukovou nahrávku lze pořídit pouze se souhlasem oznamovatele. Příslušná osoba umožní oznamovateli, aby se k záznamu nebo přepisu zvukové nahrávky, byl-li pořízen, vyjádřil, přičemž vyjádření se k záznamu nebo přepisu přiloží</w:t>
      </w:r>
      <w:r w:rsidRPr="0018207D">
        <w:rPr>
          <w:rFonts w:ascii="Arial" w:hAnsi="Arial" w:cs="Arial"/>
        </w:rPr>
        <w:t xml:space="preserve">. </w:t>
      </w:r>
    </w:p>
    <w:p w14:paraId="0A292EA1" w14:textId="43060236" w:rsidR="00D76128" w:rsidRDefault="00D76128" w:rsidP="001D58B1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8207D">
        <w:rPr>
          <w:rFonts w:ascii="Arial" w:hAnsi="Arial" w:cs="Arial"/>
        </w:rPr>
        <w:t xml:space="preserve">Systém příjmu oznámení je nastaven v případě </w:t>
      </w:r>
      <w:r>
        <w:rPr>
          <w:rFonts w:ascii="Arial" w:hAnsi="Arial" w:cs="Arial"/>
        </w:rPr>
        <w:t xml:space="preserve">písemného fyzického i </w:t>
      </w:r>
      <w:r w:rsidRPr="0018207D">
        <w:rPr>
          <w:rFonts w:ascii="Arial" w:hAnsi="Arial" w:cs="Arial"/>
        </w:rPr>
        <w:t xml:space="preserve">elektronického podání tak, že toto oznámení by mělo být ze strany oznamovatele jednoznačně označeno jako oznámení porušení ve smyslu </w:t>
      </w:r>
      <w:r>
        <w:rPr>
          <w:rFonts w:ascii="Arial" w:hAnsi="Arial" w:cs="Arial"/>
        </w:rPr>
        <w:t xml:space="preserve">zákona či </w:t>
      </w:r>
      <w:r w:rsidRPr="0018207D">
        <w:rPr>
          <w:rFonts w:ascii="Arial" w:hAnsi="Arial" w:cs="Arial"/>
        </w:rPr>
        <w:t xml:space="preserve">Směrnice (EU) 2019/1937, a to za účelem poskytnutí co nejvyšší ochrany oznamovatele. </w:t>
      </w:r>
      <w:r>
        <w:rPr>
          <w:rFonts w:ascii="Arial" w:hAnsi="Arial" w:cs="Arial"/>
        </w:rPr>
        <w:t>Proto</w:t>
      </w:r>
      <w:r w:rsidRPr="0018207D">
        <w:rPr>
          <w:rFonts w:ascii="Arial" w:hAnsi="Arial" w:cs="Arial"/>
        </w:rPr>
        <w:t xml:space="preserve"> je doporučeno označení</w:t>
      </w:r>
      <w:r>
        <w:rPr>
          <w:rFonts w:ascii="Arial" w:hAnsi="Arial" w:cs="Arial"/>
        </w:rPr>
        <w:t xml:space="preserve"> písemné zprávy na obálce a</w:t>
      </w:r>
      <w:r w:rsidRPr="0018207D">
        <w:rPr>
          <w:rFonts w:ascii="Arial" w:hAnsi="Arial" w:cs="Arial"/>
        </w:rPr>
        <w:t xml:space="preserve"> </w:t>
      </w:r>
      <w:r w:rsidR="00D83C10">
        <w:rPr>
          <w:rFonts w:ascii="Arial" w:hAnsi="Arial" w:cs="Arial"/>
        </w:rPr>
        <w:t xml:space="preserve">u </w:t>
      </w:r>
      <w:r w:rsidRPr="0018207D">
        <w:rPr>
          <w:rFonts w:ascii="Arial" w:hAnsi="Arial" w:cs="Arial"/>
        </w:rPr>
        <w:t xml:space="preserve">elektronické zprávy v jejím předmětu </w:t>
      </w:r>
      <w:r w:rsidRPr="00D76128">
        <w:rPr>
          <w:rFonts w:ascii="Arial" w:hAnsi="Arial" w:cs="Arial"/>
          <w:b/>
          <w:bCs/>
        </w:rPr>
        <w:t>Whistleblowing</w:t>
      </w:r>
      <w:r w:rsidRPr="0018207D">
        <w:rPr>
          <w:rFonts w:ascii="Arial" w:hAnsi="Arial" w:cs="Arial"/>
        </w:rPr>
        <w:t xml:space="preserve"> </w:t>
      </w:r>
      <w:bookmarkStart w:id="3" w:name="_Hlk89092348"/>
      <w:r w:rsidRPr="0018207D">
        <w:rPr>
          <w:rFonts w:ascii="Arial" w:hAnsi="Arial" w:cs="Arial"/>
        </w:rPr>
        <w:t xml:space="preserve">nebo </w:t>
      </w:r>
      <w:r w:rsidRPr="00D76128">
        <w:rPr>
          <w:rFonts w:ascii="Arial" w:hAnsi="Arial" w:cs="Arial"/>
          <w:b/>
          <w:bCs/>
        </w:rPr>
        <w:t>Oznámení dle zákona o ochraně oznamovatelů či Směrnice (EU) 2019/1937</w:t>
      </w:r>
      <w:bookmarkEnd w:id="3"/>
      <w:r w:rsidRPr="0018207D">
        <w:rPr>
          <w:rFonts w:ascii="Arial" w:hAnsi="Arial" w:cs="Arial"/>
        </w:rPr>
        <w:t xml:space="preserve">. Postačí též průvodní informace, že </w:t>
      </w:r>
      <w:r>
        <w:rPr>
          <w:rFonts w:ascii="Arial" w:hAnsi="Arial" w:cs="Arial"/>
        </w:rPr>
        <w:t>podání</w:t>
      </w:r>
      <w:r w:rsidRPr="0018207D">
        <w:rPr>
          <w:rFonts w:ascii="Arial" w:hAnsi="Arial" w:cs="Arial"/>
        </w:rPr>
        <w:t xml:space="preserve"> je určen</w:t>
      </w:r>
      <w:r>
        <w:rPr>
          <w:rFonts w:ascii="Arial" w:hAnsi="Arial" w:cs="Arial"/>
        </w:rPr>
        <w:t>o</w:t>
      </w:r>
      <w:r w:rsidRPr="0018207D">
        <w:rPr>
          <w:rFonts w:ascii="Arial" w:hAnsi="Arial" w:cs="Arial"/>
        </w:rPr>
        <w:t xml:space="preserve"> do vlastních rukou </w:t>
      </w:r>
      <w:r w:rsidR="00CB04C8">
        <w:rPr>
          <w:rFonts w:ascii="Arial" w:hAnsi="Arial" w:cs="Arial"/>
        </w:rPr>
        <w:t>příslušné</w:t>
      </w:r>
      <w:r>
        <w:rPr>
          <w:rFonts w:ascii="Arial" w:hAnsi="Arial" w:cs="Arial"/>
        </w:rPr>
        <w:t xml:space="preserve"> osoby –</w:t>
      </w:r>
      <w:r w:rsidR="00CB04C8">
        <w:rPr>
          <w:rFonts w:ascii="Arial" w:hAnsi="Arial" w:cs="Arial"/>
        </w:rPr>
        <w:t xml:space="preserve"> např. </w:t>
      </w:r>
      <w:r w:rsidR="00CB04C8" w:rsidRPr="00CB04C8">
        <w:rPr>
          <w:rFonts w:ascii="Arial" w:hAnsi="Arial" w:cs="Arial"/>
          <w:b/>
          <w:bCs/>
        </w:rPr>
        <w:t>NEOTEVÍRAT</w:t>
      </w:r>
      <w:r>
        <w:rPr>
          <w:rFonts w:ascii="Arial" w:hAnsi="Arial" w:cs="Arial"/>
        </w:rPr>
        <w:t xml:space="preserve"> </w:t>
      </w:r>
      <w:r w:rsidR="00CB04C8">
        <w:rPr>
          <w:rFonts w:ascii="Arial" w:hAnsi="Arial" w:cs="Arial"/>
          <w:b/>
          <w:bCs/>
        </w:rPr>
        <w:t xml:space="preserve">pouze do </w:t>
      </w:r>
      <w:r w:rsidRPr="00D76128">
        <w:rPr>
          <w:rFonts w:ascii="Arial" w:hAnsi="Arial" w:cs="Arial"/>
          <w:b/>
          <w:bCs/>
        </w:rPr>
        <w:t>rukou</w:t>
      </w:r>
      <w:r w:rsidR="00CB04C8">
        <w:rPr>
          <w:rFonts w:ascii="Arial" w:hAnsi="Arial" w:cs="Arial"/>
          <w:b/>
          <w:bCs/>
        </w:rPr>
        <w:t xml:space="preserve"> příslušné osoby</w:t>
      </w:r>
      <w:r w:rsidRPr="00D76128">
        <w:rPr>
          <w:rFonts w:ascii="Arial" w:hAnsi="Arial" w:cs="Arial"/>
          <w:b/>
          <w:bCs/>
        </w:rPr>
        <w:t xml:space="preserve"> Mgr.</w:t>
      </w:r>
      <w:r>
        <w:rPr>
          <w:rFonts w:ascii="Arial" w:hAnsi="Arial" w:cs="Arial"/>
          <w:b/>
          <w:bCs/>
        </w:rPr>
        <w:t> </w:t>
      </w:r>
      <w:r w:rsidRPr="00D76128">
        <w:rPr>
          <w:rFonts w:ascii="Arial" w:hAnsi="Arial" w:cs="Arial"/>
          <w:b/>
          <w:bCs/>
        </w:rPr>
        <w:t>Vladimíra Kučery</w:t>
      </w:r>
      <w:r w:rsidRPr="0018207D">
        <w:rPr>
          <w:rFonts w:ascii="Arial" w:hAnsi="Arial" w:cs="Arial"/>
        </w:rPr>
        <w:t xml:space="preserve">. Je-li oznámení učiněno prostřednictvím </w:t>
      </w:r>
      <w:r>
        <w:rPr>
          <w:rFonts w:ascii="Arial" w:hAnsi="Arial" w:cs="Arial"/>
        </w:rPr>
        <w:t xml:space="preserve">podatelny, </w:t>
      </w:r>
      <w:r w:rsidRPr="0018207D">
        <w:rPr>
          <w:rFonts w:ascii="Arial" w:hAnsi="Arial" w:cs="Arial"/>
        </w:rPr>
        <w:t>datové schránky, či je doručeno na adresu</w:t>
      </w:r>
      <w:r>
        <w:rPr>
          <w:rFonts w:ascii="Arial" w:hAnsi="Arial" w:cs="Arial"/>
        </w:rPr>
        <w:t xml:space="preserve"> e-podatelny</w:t>
      </w:r>
      <w:r w:rsidRPr="0018207D">
        <w:rPr>
          <w:rFonts w:ascii="Arial" w:hAnsi="Arial" w:cs="Arial"/>
        </w:rPr>
        <w:t xml:space="preserve"> kraje, a za podmínky, že je oznámení jednoznačně označeno jako oznámení </w:t>
      </w:r>
      <w:r>
        <w:rPr>
          <w:rFonts w:ascii="Arial" w:hAnsi="Arial" w:cs="Arial"/>
        </w:rPr>
        <w:t>dle zákona o ochraně oznamovatelů či </w:t>
      </w:r>
      <w:r w:rsidRPr="0018207D">
        <w:rPr>
          <w:rFonts w:ascii="Arial" w:hAnsi="Arial" w:cs="Arial"/>
        </w:rPr>
        <w:t>dle</w:t>
      </w:r>
      <w:r>
        <w:rPr>
          <w:rFonts w:ascii="Arial" w:hAnsi="Arial" w:cs="Arial"/>
        </w:rPr>
        <w:t> </w:t>
      </w:r>
      <w:r w:rsidRPr="0018207D">
        <w:rPr>
          <w:rFonts w:ascii="Arial" w:hAnsi="Arial" w:cs="Arial"/>
        </w:rPr>
        <w:t>Směrnice (EU) 2019/1937, pracovníci podatelny takovéto podání neotvírají a rovnou ho předají k vyřízení příslušné osobě.</w:t>
      </w:r>
      <w:bookmarkEnd w:id="1"/>
      <w:bookmarkEnd w:id="2"/>
      <w:r w:rsidRPr="0018207D">
        <w:rPr>
          <w:rFonts w:ascii="Arial" w:hAnsi="Arial" w:cs="Arial"/>
        </w:rPr>
        <w:t xml:space="preserve">   </w:t>
      </w:r>
    </w:p>
    <w:p w14:paraId="1DDCA16C" w14:textId="77777777" w:rsidR="001D58B1" w:rsidRDefault="001D58B1" w:rsidP="001D58B1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BA5DD01" w14:textId="7693C43F" w:rsidR="00D76128" w:rsidRPr="00D76128" w:rsidRDefault="00D76128" w:rsidP="001D58B1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</w:t>
      </w:r>
      <w:r w:rsidRPr="00D76128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>Z</w:t>
      </w:r>
      <w:r w:rsidRPr="00D76128">
        <w:rPr>
          <w:rFonts w:ascii="Arial" w:hAnsi="Arial" w:cs="Arial"/>
          <w:u w:val="single"/>
        </w:rPr>
        <w:t xml:space="preserve">pracování oznámení </w:t>
      </w:r>
    </w:p>
    <w:p w14:paraId="6DC910BA" w14:textId="6FE65FF5" w:rsidR="00D76128" w:rsidRPr="00B910C6" w:rsidRDefault="00D76128" w:rsidP="001D58B1">
      <w:pPr>
        <w:pStyle w:val="Odstavecseseznamem"/>
        <w:numPr>
          <w:ilvl w:val="0"/>
          <w:numId w:val="5"/>
        </w:numPr>
        <w:spacing w:after="0" w:line="240" w:lineRule="auto"/>
        <w:ind w:left="426" w:hanging="436"/>
        <w:contextualSpacing w:val="0"/>
        <w:jc w:val="both"/>
        <w:rPr>
          <w:rFonts w:ascii="Arial" w:hAnsi="Arial" w:cs="Arial"/>
        </w:rPr>
      </w:pPr>
      <w:r w:rsidRPr="00B910C6">
        <w:rPr>
          <w:rFonts w:ascii="Arial" w:hAnsi="Arial" w:cs="Arial"/>
        </w:rPr>
        <w:t xml:space="preserve">Do 7 dnů od přijetí oznámení musí být oznamovatel </w:t>
      </w:r>
      <w:r w:rsidR="0013380E">
        <w:rPr>
          <w:rFonts w:ascii="Arial" w:hAnsi="Arial" w:cs="Arial"/>
        </w:rPr>
        <w:t xml:space="preserve">o přijetí </w:t>
      </w:r>
      <w:r w:rsidRPr="00B910C6">
        <w:rPr>
          <w:rFonts w:ascii="Arial" w:hAnsi="Arial" w:cs="Arial"/>
        </w:rPr>
        <w:t xml:space="preserve">písemně vyrozuměn, ledaže </w:t>
      </w:r>
    </w:p>
    <w:p w14:paraId="5593ABCD" w14:textId="77777777" w:rsidR="00D76128" w:rsidRPr="00B910C6" w:rsidRDefault="00D76128" w:rsidP="001D58B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B910C6">
        <w:rPr>
          <w:rFonts w:ascii="Arial" w:hAnsi="Arial" w:cs="Arial"/>
        </w:rPr>
        <w:t>oznamovatel výslovně požádal příslušnou osobu, aby ho o přijetí oznámení nevyrozumívala, nebo</w:t>
      </w:r>
    </w:p>
    <w:p w14:paraId="1D32B79C" w14:textId="77777777" w:rsidR="00D76128" w:rsidRPr="00B910C6" w:rsidRDefault="00D76128" w:rsidP="001D58B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B910C6">
        <w:rPr>
          <w:rFonts w:ascii="Arial" w:hAnsi="Arial" w:cs="Arial"/>
        </w:rPr>
        <w:t>je zřejmé, že vyrozuměním o přijetí oznámení by došlo k prozrazení totožnosti oznamovatele jiné osobě.</w:t>
      </w:r>
    </w:p>
    <w:p w14:paraId="3DBA90DF" w14:textId="77777777" w:rsidR="00D76128" w:rsidRPr="0018207D" w:rsidRDefault="00D76128" w:rsidP="001D58B1">
      <w:pPr>
        <w:pStyle w:val="Odstavecseseznamem"/>
        <w:numPr>
          <w:ilvl w:val="0"/>
          <w:numId w:val="5"/>
        </w:numPr>
        <w:spacing w:after="0" w:line="240" w:lineRule="auto"/>
        <w:ind w:left="426" w:hanging="436"/>
        <w:contextualSpacing w:val="0"/>
        <w:jc w:val="both"/>
        <w:rPr>
          <w:rFonts w:ascii="Arial" w:hAnsi="Arial" w:cs="Arial"/>
        </w:rPr>
      </w:pPr>
      <w:r w:rsidRPr="0018207D">
        <w:rPr>
          <w:rFonts w:ascii="Arial" w:hAnsi="Arial" w:cs="Arial"/>
        </w:rPr>
        <w:t>Přístup k podaným oznámením má pouze příslušná osoba</w:t>
      </w:r>
      <w:r>
        <w:rPr>
          <w:rFonts w:ascii="Arial" w:hAnsi="Arial" w:cs="Arial"/>
        </w:rPr>
        <w:t xml:space="preserve"> a její zástupci</w:t>
      </w:r>
      <w:r w:rsidRPr="0018207D">
        <w:rPr>
          <w:rFonts w:ascii="Arial" w:hAnsi="Arial" w:cs="Arial"/>
        </w:rPr>
        <w:t>, kte</w:t>
      </w:r>
      <w:r>
        <w:rPr>
          <w:rFonts w:ascii="Arial" w:hAnsi="Arial" w:cs="Arial"/>
        </w:rPr>
        <w:t>ří</w:t>
      </w:r>
      <w:r w:rsidRPr="0018207D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</w:t>
      </w:r>
      <w:r w:rsidRPr="0018207D">
        <w:rPr>
          <w:rFonts w:ascii="Arial" w:hAnsi="Arial" w:cs="Arial"/>
        </w:rPr>
        <w:t>nich zachováv</w:t>
      </w:r>
      <w:r>
        <w:rPr>
          <w:rFonts w:ascii="Arial" w:hAnsi="Arial" w:cs="Arial"/>
        </w:rPr>
        <w:t>ají</w:t>
      </w:r>
      <w:r w:rsidRPr="0018207D">
        <w:rPr>
          <w:rFonts w:ascii="Arial" w:hAnsi="Arial" w:cs="Arial"/>
        </w:rPr>
        <w:t xml:space="preserve"> mlčenlivost.</w:t>
      </w:r>
    </w:p>
    <w:p w14:paraId="39549381" w14:textId="77777777" w:rsidR="00D76128" w:rsidRDefault="00D76128" w:rsidP="001D58B1">
      <w:pPr>
        <w:numPr>
          <w:ilvl w:val="0"/>
          <w:numId w:val="5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bookmarkStart w:id="4" w:name="_Hlk89089384"/>
      <w:r w:rsidRPr="0018207D">
        <w:rPr>
          <w:rFonts w:ascii="Arial" w:hAnsi="Arial" w:cs="Arial"/>
        </w:rPr>
        <w:t xml:space="preserve">Příslušná osoba provede předběžné posouzení oznámení, tedy zda spadá oznamované jednání pod oblasti vymezené </w:t>
      </w:r>
      <w:r>
        <w:rPr>
          <w:rFonts w:ascii="Arial" w:hAnsi="Arial" w:cs="Arial"/>
        </w:rPr>
        <w:t xml:space="preserve">zákonem a </w:t>
      </w:r>
      <w:r w:rsidRPr="0018207D">
        <w:rPr>
          <w:rFonts w:ascii="Arial" w:hAnsi="Arial" w:cs="Arial"/>
        </w:rPr>
        <w:t>Směrnicí (EU) 2019/1937, zda je dodržen pracovní kontext, o jaký druh protiprávního jednání se jedná a zda postačí oznamované jednání vyřešit interně</w:t>
      </w:r>
      <w:bookmarkEnd w:id="4"/>
      <w:r w:rsidRPr="0018207D">
        <w:rPr>
          <w:rFonts w:ascii="Arial" w:hAnsi="Arial" w:cs="Arial"/>
        </w:rPr>
        <w:t>.</w:t>
      </w:r>
    </w:p>
    <w:p w14:paraId="7CAB8331" w14:textId="77777777" w:rsidR="00D76128" w:rsidRPr="0018207D" w:rsidRDefault="00D76128" w:rsidP="001D58B1">
      <w:pPr>
        <w:numPr>
          <w:ilvl w:val="0"/>
          <w:numId w:val="5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Pokud oznámení neobsahuje všechny potřebné informace či údaje, vyzve příslušná osoba oznamovatele k jejich doplnění.</w:t>
      </w:r>
    </w:p>
    <w:p w14:paraId="5AD4EC01" w14:textId="77777777" w:rsidR="00D76128" w:rsidRPr="0018207D" w:rsidRDefault="00D76128" w:rsidP="001D58B1">
      <w:pPr>
        <w:numPr>
          <w:ilvl w:val="0"/>
          <w:numId w:val="5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bookmarkStart w:id="5" w:name="_Hlk89088602"/>
      <w:bookmarkStart w:id="6" w:name="_Hlk89089466"/>
      <w:r>
        <w:rPr>
          <w:rFonts w:ascii="Arial" w:hAnsi="Arial" w:cs="Arial"/>
        </w:rPr>
        <w:t>Zjistí-li příslušná osoba při posuzování důvodnosti oznámení, že nejde o oznámení podle zákona bez zbytečného odkladu o tom písemně vyrozumí oznamovatele</w:t>
      </w:r>
      <w:r w:rsidRPr="0018207D">
        <w:rPr>
          <w:rFonts w:ascii="Arial" w:hAnsi="Arial" w:cs="Arial"/>
        </w:rPr>
        <w:t>.</w:t>
      </w:r>
      <w:bookmarkEnd w:id="5"/>
    </w:p>
    <w:bookmarkEnd w:id="6"/>
    <w:p w14:paraId="356ED049" w14:textId="77777777" w:rsidR="00D76128" w:rsidRDefault="00D76128" w:rsidP="00CB04C8">
      <w:pPr>
        <w:numPr>
          <w:ilvl w:val="0"/>
          <w:numId w:val="5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18207D">
        <w:rPr>
          <w:rFonts w:ascii="Arial" w:hAnsi="Arial" w:cs="Arial"/>
        </w:rPr>
        <w:t xml:space="preserve">Příslušná osoba </w:t>
      </w:r>
      <w:r>
        <w:rPr>
          <w:rFonts w:ascii="Arial" w:hAnsi="Arial" w:cs="Arial"/>
        </w:rPr>
        <w:t xml:space="preserve">je povinna posoudit důvodnost oznámení a písemně vyrozumět oznamovatele o výsledcích posouzení do 30 dnů ode dne přijetí oznámení. V případech skutkově nebo právně složitých lze tuto lhůtu prodloužit až o 30 dnů, nejvýše však </w:t>
      </w:r>
      <w:r>
        <w:rPr>
          <w:rFonts w:ascii="Arial" w:hAnsi="Arial" w:cs="Arial"/>
        </w:rPr>
        <w:lastRenderedPageBreak/>
        <w:t>dvakrát. O prodloužení lhůty a důvodech pro její prodloužení je příslušná osoba povinna oznamovatele písemně vyrozumět před jejím uplynutím</w:t>
      </w:r>
      <w:r w:rsidRPr="0018207D">
        <w:rPr>
          <w:rFonts w:ascii="Arial" w:hAnsi="Arial" w:cs="Arial"/>
        </w:rPr>
        <w:t>.</w:t>
      </w:r>
    </w:p>
    <w:p w14:paraId="773945E6" w14:textId="77777777" w:rsidR="00D76128" w:rsidRPr="0018207D" w:rsidRDefault="00D76128" w:rsidP="00CB04C8">
      <w:pPr>
        <w:numPr>
          <w:ilvl w:val="0"/>
          <w:numId w:val="5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18207D">
        <w:rPr>
          <w:rFonts w:ascii="Arial" w:hAnsi="Arial" w:cs="Arial"/>
        </w:rPr>
        <w:t xml:space="preserve">V odůvodněných případech příslušná </w:t>
      </w:r>
      <w:bookmarkStart w:id="7" w:name="_Hlk89089409"/>
      <w:r w:rsidRPr="0018207D">
        <w:rPr>
          <w:rFonts w:ascii="Arial" w:hAnsi="Arial" w:cs="Arial"/>
        </w:rPr>
        <w:t>osoba oznámení postoupí orgánům činným v trestním řízení nebo jiným věcně příslušným orgánům</w:t>
      </w:r>
      <w:bookmarkEnd w:id="7"/>
      <w:r w:rsidRPr="0018207D">
        <w:rPr>
          <w:rFonts w:ascii="Arial" w:hAnsi="Arial" w:cs="Arial"/>
        </w:rPr>
        <w:t>.</w:t>
      </w:r>
    </w:p>
    <w:p w14:paraId="6B3B9066" w14:textId="36AE4CE1" w:rsidR="00D76128" w:rsidRPr="00CB04C8" w:rsidRDefault="00CB04C8" w:rsidP="00CB04C8">
      <w:pPr>
        <w:numPr>
          <w:ilvl w:val="0"/>
          <w:numId w:val="5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7B1F40">
        <w:rPr>
          <w:rFonts w:ascii="Arial" w:hAnsi="Arial" w:cs="Arial"/>
        </w:rPr>
        <w:t xml:space="preserve">Je-li oznámení vyhodnoceno jako důvodné, příslušná osoba </w:t>
      </w:r>
      <w:r>
        <w:rPr>
          <w:rFonts w:ascii="Arial" w:hAnsi="Arial" w:cs="Arial"/>
        </w:rPr>
        <w:t>řediteli krajského úřadu</w:t>
      </w:r>
      <w:r w:rsidRPr="007B1F40">
        <w:rPr>
          <w:rFonts w:ascii="Arial" w:hAnsi="Arial" w:cs="Arial"/>
        </w:rPr>
        <w:t xml:space="preserve"> navrhne opatření k předejití nebo nápravě protiprávního stavu. Nepřijme-li </w:t>
      </w:r>
      <w:r>
        <w:rPr>
          <w:rFonts w:ascii="Arial" w:hAnsi="Arial" w:cs="Arial"/>
        </w:rPr>
        <w:t>ředitel krajského úřadu</w:t>
      </w:r>
      <w:r w:rsidRPr="007B1F40">
        <w:rPr>
          <w:rFonts w:ascii="Arial" w:hAnsi="Arial" w:cs="Arial"/>
        </w:rPr>
        <w:t xml:space="preserve"> opatření navržené příslušnou osobou, přijme k předejití nebo nápravě protiprávního stavu jiné vhodné opatření</w:t>
      </w:r>
      <w:r>
        <w:rPr>
          <w:rFonts w:ascii="Arial" w:hAnsi="Arial" w:cs="Arial"/>
        </w:rPr>
        <w:t>.</w:t>
      </w:r>
      <w:r w:rsidRPr="007B1F40">
        <w:rPr>
          <w:rFonts w:ascii="Arial" w:hAnsi="Arial" w:cs="Arial"/>
        </w:rPr>
        <w:t xml:space="preserve"> O přijatém opatření </w:t>
      </w:r>
      <w:r>
        <w:rPr>
          <w:rFonts w:ascii="Arial" w:hAnsi="Arial" w:cs="Arial"/>
        </w:rPr>
        <w:t>ředitel krajského úřadu</w:t>
      </w:r>
      <w:r w:rsidRPr="007B1F40">
        <w:rPr>
          <w:rFonts w:ascii="Arial" w:hAnsi="Arial" w:cs="Arial"/>
        </w:rPr>
        <w:t xml:space="preserve"> neprodleně vyrozumí</w:t>
      </w:r>
      <w:r>
        <w:rPr>
          <w:rFonts w:ascii="Arial" w:hAnsi="Arial" w:cs="Arial"/>
        </w:rPr>
        <w:t xml:space="preserve"> hejtmana a</w:t>
      </w:r>
      <w:r w:rsidRPr="007B1F40">
        <w:rPr>
          <w:rFonts w:ascii="Arial" w:hAnsi="Arial" w:cs="Arial"/>
        </w:rPr>
        <w:t xml:space="preserve"> příslušnou osobu, která o něm bez zbytečného odkladu písemně vyrozumí oznamovatele.</w:t>
      </w:r>
      <w:r>
        <w:rPr>
          <w:rFonts w:ascii="Arial" w:hAnsi="Arial" w:cs="Arial"/>
        </w:rPr>
        <w:t xml:space="preserve"> </w:t>
      </w:r>
    </w:p>
    <w:p w14:paraId="671F7F08" w14:textId="77777777" w:rsidR="00D76128" w:rsidRPr="0018207D" w:rsidRDefault="00D76128" w:rsidP="00CB04C8">
      <w:pPr>
        <w:numPr>
          <w:ilvl w:val="0"/>
          <w:numId w:val="5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7B1F40">
        <w:rPr>
          <w:rFonts w:ascii="Arial" w:hAnsi="Arial" w:cs="Arial"/>
        </w:rPr>
        <w:t>Není-li oznámení vyhodnoceno jako důvodné, příslušná osoba bez zbytečného odkladu písemně vyrozumí oznamovatele o tom, že na základě skutečností uvedených v oznámení a z okolností, které jí jsou známy, neshledala podezření ze spáchání protiprávního jednání, nebo shledala, že oznámení se zakládá na nepravdivých informacích, a poučí oznamovatele o právu podat oznámení u orgánu veřejné moci.</w:t>
      </w:r>
    </w:p>
    <w:p w14:paraId="3E5937FD" w14:textId="77777777" w:rsidR="00D76128" w:rsidRPr="0018207D" w:rsidRDefault="00D76128" w:rsidP="00CB04C8">
      <w:pPr>
        <w:numPr>
          <w:ilvl w:val="0"/>
          <w:numId w:val="5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18207D">
        <w:rPr>
          <w:rFonts w:ascii="Arial" w:hAnsi="Arial" w:cs="Arial"/>
        </w:rPr>
        <w:t>Příslušná osoba musí vést evidenci údajů z oznámení, do níž má přístup pouze příslušná osoba</w:t>
      </w:r>
      <w:r>
        <w:rPr>
          <w:rFonts w:ascii="Arial" w:hAnsi="Arial" w:cs="Arial"/>
        </w:rPr>
        <w:t xml:space="preserve"> a její zástupci</w:t>
      </w:r>
      <w:r w:rsidRPr="0018207D">
        <w:rPr>
          <w:rFonts w:ascii="Arial" w:hAnsi="Arial" w:cs="Arial"/>
        </w:rPr>
        <w:t>. Evidence je vedena v elektronické podobě a</w:t>
      </w:r>
      <w:r>
        <w:rPr>
          <w:rFonts w:ascii="Arial" w:hAnsi="Arial" w:cs="Arial"/>
        </w:rPr>
        <w:t> </w:t>
      </w:r>
      <w:r w:rsidRPr="0018207D">
        <w:rPr>
          <w:rFonts w:ascii="Arial" w:hAnsi="Arial" w:cs="Arial"/>
        </w:rPr>
        <w:t>v rozsahu:</w:t>
      </w:r>
    </w:p>
    <w:p w14:paraId="7FC5B5D4" w14:textId="77777777" w:rsidR="00D76128" w:rsidRPr="0018207D" w:rsidRDefault="00D76128" w:rsidP="00CB04C8">
      <w:pPr>
        <w:pStyle w:val="Odstavecseseznamem"/>
        <w:numPr>
          <w:ilvl w:val="0"/>
          <w:numId w:val="19"/>
        </w:numPr>
        <w:spacing w:after="0" w:line="240" w:lineRule="auto"/>
        <w:ind w:left="851" w:hanging="437"/>
        <w:contextualSpacing w:val="0"/>
        <w:jc w:val="both"/>
        <w:rPr>
          <w:rFonts w:ascii="Arial" w:hAnsi="Arial" w:cs="Arial"/>
        </w:rPr>
      </w:pPr>
      <w:r w:rsidRPr="0018207D">
        <w:rPr>
          <w:rFonts w:ascii="Arial" w:hAnsi="Arial" w:cs="Arial"/>
        </w:rPr>
        <w:t>datum přijetí oznámení,</w:t>
      </w:r>
    </w:p>
    <w:p w14:paraId="5EDD8CCF" w14:textId="77777777" w:rsidR="00D76128" w:rsidRPr="0018207D" w:rsidRDefault="00D76128" w:rsidP="00CB04C8">
      <w:pPr>
        <w:pStyle w:val="Odstavecseseznamem"/>
        <w:numPr>
          <w:ilvl w:val="0"/>
          <w:numId w:val="19"/>
        </w:numPr>
        <w:spacing w:after="0" w:line="240" w:lineRule="auto"/>
        <w:ind w:left="851" w:hanging="437"/>
        <w:contextualSpacing w:val="0"/>
        <w:jc w:val="both"/>
        <w:rPr>
          <w:rFonts w:ascii="Arial" w:hAnsi="Arial" w:cs="Arial"/>
        </w:rPr>
      </w:pPr>
      <w:r w:rsidRPr="00B910C6">
        <w:rPr>
          <w:rFonts w:ascii="Arial" w:hAnsi="Arial" w:cs="Arial"/>
        </w:rPr>
        <w:t>jméno, příjmení, datum narození a kontaktní adresa oznamovatele, nebo jiné údaje, z nichž je možné dovodit totožnost oznamovatele, jsou-li jim tyto údaje známy,</w:t>
      </w:r>
    </w:p>
    <w:p w14:paraId="746FD8B5" w14:textId="77777777" w:rsidR="00D76128" w:rsidRDefault="00D76128" w:rsidP="00CB04C8">
      <w:pPr>
        <w:pStyle w:val="Odstavecseseznamem"/>
        <w:numPr>
          <w:ilvl w:val="0"/>
          <w:numId w:val="19"/>
        </w:numPr>
        <w:spacing w:after="0" w:line="240" w:lineRule="auto"/>
        <w:ind w:left="851" w:hanging="437"/>
        <w:contextualSpacing w:val="0"/>
        <w:jc w:val="both"/>
        <w:rPr>
          <w:rFonts w:ascii="Arial" w:hAnsi="Arial" w:cs="Arial"/>
        </w:rPr>
      </w:pPr>
      <w:r w:rsidRPr="00B910C6">
        <w:rPr>
          <w:rFonts w:ascii="Arial" w:hAnsi="Arial" w:cs="Arial"/>
        </w:rPr>
        <w:t>shrnutí obsahu oznámení a identifikace osoby, proti které oznámení směřovalo, je-li jim její totožnost známa,</w:t>
      </w:r>
    </w:p>
    <w:p w14:paraId="01D98D19" w14:textId="77777777" w:rsidR="00D76128" w:rsidRDefault="00D76128" w:rsidP="00CB04C8">
      <w:pPr>
        <w:pStyle w:val="Odstavecseseznamem"/>
        <w:numPr>
          <w:ilvl w:val="0"/>
          <w:numId w:val="19"/>
        </w:numPr>
        <w:spacing w:after="0" w:line="240" w:lineRule="auto"/>
        <w:ind w:left="851" w:hanging="437"/>
        <w:contextualSpacing w:val="0"/>
        <w:jc w:val="both"/>
        <w:rPr>
          <w:rFonts w:ascii="Arial" w:hAnsi="Arial" w:cs="Arial"/>
        </w:rPr>
      </w:pPr>
      <w:r w:rsidRPr="00B910C6">
        <w:rPr>
          <w:rFonts w:ascii="Arial" w:hAnsi="Arial" w:cs="Arial"/>
        </w:rPr>
        <w:t>datum ukončení posouzení důvodnosti oznámení příslušnou osobou a jejich výsledek.</w:t>
      </w:r>
    </w:p>
    <w:p w14:paraId="12069695" w14:textId="01E6AA8B" w:rsidR="00D76128" w:rsidRDefault="00D76128" w:rsidP="00CB04C8">
      <w:pPr>
        <w:pStyle w:val="Odstavecseseznamem"/>
        <w:numPr>
          <w:ilvl w:val="0"/>
          <w:numId w:val="5"/>
        </w:numPr>
        <w:spacing w:after="0" w:line="240" w:lineRule="auto"/>
        <w:ind w:left="426" w:hanging="437"/>
        <w:contextualSpacing w:val="0"/>
        <w:jc w:val="both"/>
        <w:rPr>
          <w:rFonts w:ascii="Arial" w:hAnsi="Arial" w:cs="Arial"/>
        </w:rPr>
      </w:pPr>
      <w:r w:rsidRPr="0018207D">
        <w:rPr>
          <w:rFonts w:ascii="Arial" w:hAnsi="Arial" w:cs="Arial"/>
        </w:rPr>
        <w:t xml:space="preserve">Evidence oznámení je vedena v </w:t>
      </w:r>
      <w:r w:rsidRPr="0018207D">
        <w:rPr>
          <w:rFonts w:ascii="Arial" w:hAnsi="Arial" w:cs="Arial"/>
          <w:bCs/>
        </w:rPr>
        <w:t>elektronickém systému spisové služby EZOP</w:t>
      </w:r>
      <w:r w:rsidRPr="0018207D">
        <w:rPr>
          <w:rFonts w:ascii="Arial" w:hAnsi="Arial" w:cs="Arial"/>
        </w:rPr>
        <w:t xml:space="preserve">. Přístup k nim je nastaven </w:t>
      </w:r>
      <w:r w:rsidRPr="0018207D">
        <w:rPr>
          <w:rFonts w:ascii="Arial" w:hAnsi="Arial" w:cs="Arial"/>
          <w:bCs/>
        </w:rPr>
        <w:t xml:space="preserve">v rámci samostatného spisového uzlu Oddělení </w:t>
      </w:r>
      <w:r>
        <w:rPr>
          <w:rFonts w:ascii="Arial" w:hAnsi="Arial" w:cs="Arial"/>
          <w:bCs/>
        </w:rPr>
        <w:t>stížností a dozoru obcí</w:t>
      </w:r>
      <w:r w:rsidRPr="0018207D">
        <w:rPr>
          <w:rFonts w:ascii="Arial" w:hAnsi="Arial" w:cs="Arial"/>
          <w:bCs/>
        </w:rPr>
        <w:t xml:space="preserve"> v elektronickém systému spisové služby EZOP</w:t>
      </w:r>
      <w:r w:rsidRPr="0018207D">
        <w:rPr>
          <w:rFonts w:ascii="Arial" w:hAnsi="Arial" w:cs="Arial"/>
        </w:rPr>
        <w:t xml:space="preserve"> pouze pro</w:t>
      </w:r>
      <w:r>
        <w:rPr>
          <w:rFonts w:ascii="Arial" w:hAnsi="Arial" w:cs="Arial"/>
        </w:rPr>
        <w:t> </w:t>
      </w:r>
      <w:r w:rsidRPr="0018207D">
        <w:rPr>
          <w:rFonts w:ascii="Arial" w:hAnsi="Arial" w:cs="Arial"/>
        </w:rPr>
        <w:t>příslušnou osobu a její zástupce.</w:t>
      </w:r>
      <w:r>
        <w:rPr>
          <w:rFonts w:ascii="Arial" w:hAnsi="Arial" w:cs="Arial"/>
        </w:rPr>
        <w:t xml:space="preserve"> Písemná oznámení jsou uchovávána v uzamykatelné skříni, do které má přístup pouze </w:t>
      </w:r>
      <w:r w:rsidR="00C52927">
        <w:rPr>
          <w:rFonts w:ascii="Arial" w:hAnsi="Arial" w:cs="Arial"/>
        </w:rPr>
        <w:t>příslušná</w:t>
      </w:r>
      <w:r>
        <w:rPr>
          <w:rFonts w:ascii="Arial" w:hAnsi="Arial" w:cs="Arial"/>
        </w:rPr>
        <w:t xml:space="preserve"> osoba a její zástupci.</w:t>
      </w:r>
    </w:p>
    <w:p w14:paraId="21CB82D6" w14:textId="77777777" w:rsidR="00D76128" w:rsidRPr="0018207D" w:rsidRDefault="00D76128" w:rsidP="001D58B1">
      <w:pPr>
        <w:pStyle w:val="Odstavecseseznamem"/>
        <w:numPr>
          <w:ilvl w:val="0"/>
          <w:numId w:val="5"/>
        </w:numPr>
        <w:spacing w:after="0" w:line="240" w:lineRule="auto"/>
        <w:ind w:left="426" w:hanging="43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8207D">
        <w:rPr>
          <w:rFonts w:ascii="Arial" w:hAnsi="Arial" w:cs="Arial"/>
        </w:rPr>
        <w:t>známení samotná</w:t>
      </w:r>
      <w:r>
        <w:rPr>
          <w:rFonts w:ascii="Arial" w:hAnsi="Arial" w:cs="Arial"/>
        </w:rPr>
        <w:t xml:space="preserve"> i s nimi související dokumenty jsou uchovávány</w:t>
      </w:r>
      <w:r w:rsidRPr="0018207D">
        <w:rPr>
          <w:rFonts w:ascii="Arial" w:hAnsi="Arial" w:cs="Arial"/>
        </w:rPr>
        <w:t xml:space="preserve"> po dobu 5 let</w:t>
      </w:r>
      <w:r>
        <w:rPr>
          <w:rFonts w:ascii="Arial" w:hAnsi="Arial" w:cs="Arial"/>
        </w:rPr>
        <w:t xml:space="preserve"> ode dne přijetí oznámení</w:t>
      </w:r>
      <w:r w:rsidRPr="0018207D">
        <w:rPr>
          <w:rFonts w:ascii="Arial" w:hAnsi="Arial" w:cs="Arial"/>
        </w:rPr>
        <w:t xml:space="preserve">.   </w:t>
      </w:r>
    </w:p>
    <w:p w14:paraId="31A8A208" w14:textId="77777777" w:rsidR="001D58B1" w:rsidRDefault="001D58B1" w:rsidP="001D58B1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13599CB7" w14:textId="34295B84" w:rsidR="00AF5779" w:rsidRPr="00F015ED" w:rsidRDefault="00D76128" w:rsidP="001D58B1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</w:t>
      </w:r>
      <w:r w:rsidR="00510FFD" w:rsidRPr="00F015ED">
        <w:rPr>
          <w:rFonts w:ascii="Arial" w:hAnsi="Arial" w:cs="Arial"/>
          <w:u w:val="single"/>
        </w:rPr>
        <w:t xml:space="preserve">. </w:t>
      </w:r>
      <w:r w:rsidR="002D6100" w:rsidRPr="00F015ED">
        <w:rPr>
          <w:rFonts w:ascii="Arial" w:hAnsi="Arial" w:cs="Arial"/>
          <w:u w:val="single"/>
        </w:rPr>
        <w:t>O</w:t>
      </w:r>
      <w:r w:rsidR="00152493" w:rsidRPr="00F015ED">
        <w:rPr>
          <w:rFonts w:ascii="Arial" w:hAnsi="Arial" w:cs="Arial"/>
          <w:u w:val="single"/>
        </w:rPr>
        <w:t xml:space="preserve">chrana oznamovatelů </w:t>
      </w:r>
    </w:p>
    <w:p w14:paraId="778F20F1" w14:textId="77777777" w:rsidR="00D76128" w:rsidRPr="0018207D" w:rsidRDefault="00D76128" w:rsidP="001D58B1">
      <w:pPr>
        <w:pStyle w:val="Odstavecseseznamem"/>
        <w:numPr>
          <w:ilvl w:val="0"/>
          <w:numId w:val="6"/>
        </w:numPr>
        <w:spacing w:after="0" w:line="240" w:lineRule="auto"/>
        <w:ind w:left="426" w:hanging="43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Ochrana podle zákona náleží oznamovateli, který oznámení</w:t>
      </w:r>
      <w:r w:rsidRPr="0018207D">
        <w:rPr>
          <w:rFonts w:ascii="Arial" w:hAnsi="Arial" w:cs="Arial"/>
        </w:rPr>
        <w:t>:</w:t>
      </w:r>
    </w:p>
    <w:p w14:paraId="48EFAA32" w14:textId="77777777" w:rsidR="00D76128" w:rsidRDefault="00D76128" w:rsidP="001D58B1">
      <w:pPr>
        <w:pStyle w:val="Odstavecseseznamem"/>
        <w:numPr>
          <w:ilvl w:val="0"/>
          <w:numId w:val="7"/>
        </w:numPr>
        <w:spacing w:after="0" w:line="240" w:lineRule="auto"/>
        <w:ind w:left="851" w:hanging="436"/>
        <w:contextualSpacing w:val="0"/>
        <w:jc w:val="both"/>
        <w:rPr>
          <w:rFonts w:ascii="Arial" w:hAnsi="Arial" w:cs="Arial"/>
        </w:rPr>
      </w:pPr>
      <w:r w:rsidRPr="00B7632D">
        <w:rPr>
          <w:rFonts w:ascii="Arial" w:hAnsi="Arial" w:cs="Arial"/>
        </w:rPr>
        <w:t>podal prostřednictvím vnitřního oznamovacího systému</w:t>
      </w:r>
      <w:r>
        <w:rPr>
          <w:rFonts w:ascii="Arial" w:hAnsi="Arial" w:cs="Arial"/>
        </w:rPr>
        <w:t>,</w:t>
      </w:r>
    </w:p>
    <w:p w14:paraId="2D6128B1" w14:textId="77777777" w:rsidR="00D76128" w:rsidRDefault="00D76128" w:rsidP="001D58B1">
      <w:pPr>
        <w:pStyle w:val="Odstavecseseznamem"/>
        <w:numPr>
          <w:ilvl w:val="0"/>
          <w:numId w:val="7"/>
        </w:numPr>
        <w:spacing w:after="0" w:line="240" w:lineRule="auto"/>
        <w:ind w:left="851" w:hanging="436"/>
        <w:contextualSpacing w:val="0"/>
        <w:jc w:val="both"/>
        <w:rPr>
          <w:rFonts w:ascii="Arial" w:hAnsi="Arial" w:cs="Arial"/>
        </w:rPr>
      </w:pPr>
      <w:r w:rsidRPr="00B7632D">
        <w:rPr>
          <w:rFonts w:ascii="Arial" w:hAnsi="Arial" w:cs="Arial"/>
        </w:rPr>
        <w:t xml:space="preserve">podal </w:t>
      </w:r>
      <w:r>
        <w:rPr>
          <w:rFonts w:ascii="Arial" w:hAnsi="Arial" w:cs="Arial"/>
        </w:rPr>
        <w:t>M</w:t>
      </w:r>
      <w:r w:rsidRPr="00B7632D">
        <w:rPr>
          <w:rFonts w:ascii="Arial" w:hAnsi="Arial" w:cs="Arial"/>
        </w:rPr>
        <w:t>inisterstvu</w:t>
      </w:r>
      <w:r>
        <w:rPr>
          <w:rFonts w:ascii="Arial" w:hAnsi="Arial" w:cs="Arial"/>
        </w:rPr>
        <w:t xml:space="preserve"> spravedlnosti</w:t>
      </w:r>
      <w:r w:rsidRPr="00B7632D">
        <w:rPr>
          <w:rFonts w:ascii="Arial" w:hAnsi="Arial" w:cs="Arial"/>
        </w:rPr>
        <w:t>, nebo</w:t>
      </w:r>
    </w:p>
    <w:p w14:paraId="0362D0B1" w14:textId="77777777" w:rsidR="00D76128" w:rsidRDefault="00D76128" w:rsidP="001D58B1">
      <w:pPr>
        <w:pStyle w:val="Odstavecseseznamem"/>
        <w:numPr>
          <w:ilvl w:val="0"/>
          <w:numId w:val="7"/>
        </w:numPr>
        <w:spacing w:after="0" w:line="240" w:lineRule="auto"/>
        <w:ind w:left="851" w:hanging="436"/>
        <w:contextualSpacing w:val="0"/>
        <w:jc w:val="both"/>
        <w:rPr>
          <w:rFonts w:ascii="Arial" w:hAnsi="Arial" w:cs="Arial"/>
        </w:rPr>
      </w:pPr>
      <w:r w:rsidRPr="00B7632D">
        <w:rPr>
          <w:rFonts w:ascii="Arial" w:hAnsi="Arial" w:cs="Arial"/>
        </w:rPr>
        <w:t>uveřejnil, pokud</w:t>
      </w:r>
    </w:p>
    <w:p w14:paraId="00ECC73C" w14:textId="77777777" w:rsidR="00D76128" w:rsidRDefault="00D76128" w:rsidP="001D58B1">
      <w:pPr>
        <w:pStyle w:val="Odstavecseseznamem"/>
        <w:numPr>
          <w:ilvl w:val="0"/>
          <w:numId w:val="18"/>
        </w:numPr>
        <w:spacing w:after="0" w:line="240" w:lineRule="auto"/>
        <w:ind w:left="1276" w:hanging="437"/>
        <w:contextualSpacing w:val="0"/>
        <w:jc w:val="both"/>
        <w:rPr>
          <w:rFonts w:ascii="Arial" w:hAnsi="Arial" w:cs="Arial"/>
        </w:rPr>
      </w:pPr>
      <w:r w:rsidRPr="00B7632D">
        <w:rPr>
          <w:rFonts w:ascii="Arial" w:hAnsi="Arial" w:cs="Arial"/>
        </w:rPr>
        <w:t>podal oznámení prostřednictvím vnitřního oznamovacího systému a </w:t>
      </w:r>
      <w:r>
        <w:rPr>
          <w:rFonts w:ascii="Arial" w:hAnsi="Arial" w:cs="Arial"/>
        </w:rPr>
        <w:t>M</w:t>
      </w:r>
      <w:r w:rsidRPr="00B7632D">
        <w:rPr>
          <w:rFonts w:ascii="Arial" w:hAnsi="Arial" w:cs="Arial"/>
        </w:rPr>
        <w:t>inisterstvu</w:t>
      </w:r>
      <w:r>
        <w:rPr>
          <w:rFonts w:ascii="Arial" w:hAnsi="Arial" w:cs="Arial"/>
        </w:rPr>
        <w:t xml:space="preserve"> spravedlnosti</w:t>
      </w:r>
      <w:r w:rsidRPr="00B7632D">
        <w:rPr>
          <w:rFonts w:ascii="Arial" w:hAnsi="Arial" w:cs="Arial"/>
        </w:rPr>
        <w:t xml:space="preserve"> nebo pouze </w:t>
      </w:r>
      <w:r>
        <w:rPr>
          <w:rFonts w:ascii="Arial" w:hAnsi="Arial" w:cs="Arial"/>
        </w:rPr>
        <w:t>M</w:t>
      </w:r>
      <w:r w:rsidRPr="00B7632D">
        <w:rPr>
          <w:rFonts w:ascii="Arial" w:hAnsi="Arial" w:cs="Arial"/>
        </w:rPr>
        <w:t>inisterstvu</w:t>
      </w:r>
      <w:r>
        <w:rPr>
          <w:rFonts w:ascii="Arial" w:hAnsi="Arial" w:cs="Arial"/>
        </w:rPr>
        <w:t xml:space="preserve"> spravedlnosti</w:t>
      </w:r>
      <w:r w:rsidRPr="00B7632D">
        <w:rPr>
          <w:rFonts w:ascii="Arial" w:hAnsi="Arial" w:cs="Arial"/>
        </w:rPr>
        <w:t xml:space="preserve"> a ve</w:t>
      </w:r>
      <w:r>
        <w:rPr>
          <w:rFonts w:ascii="Arial" w:hAnsi="Arial" w:cs="Arial"/>
        </w:rPr>
        <w:t> </w:t>
      </w:r>
      <w:r w:rsidRPr="00B7632D">
        <w:rPr>
          <w:rFonts w:ascii="Arial" w:hAnsi="Arial" w:cs="Arial"/>
        </w:rPr>
        <w:t xml:space="preserve">lhůtách stanovených zákonem nebylo přijato vhodné opatření, zejména příslušná osoba neposoudila důvodnost oznámení podle </w:t>
      </w:r>
      <w:r>
        <w:rPr>
          <w:rFonts w:ascii="Arial" w:hAnsi="Arial" w:cs="Arial"/>
        </w:rPr>
        <w:t xml:space="preserve">ustanovení </w:t>
      </w:r>
      <w:r w:rsidRPr="00B7632D">
        <w:rPr>
          <w:rFonts w:ascii="Arial" w:hAnsi="Arial" w:cs="Arial"/>
        </w:rPr>
        <w:t>§ 12 odst. 3</w:t>
      </w:r>
      <w:r>
        <w:rPr>
          <w:rFonts w:ascii="Arial" w:hAnsi="Arial" w:cs="Arial"/>
        </w:rPr>
        <w:t xml:space="preserve"> zákona</w:t>
      </w:r>
      <w:r w:rsidRPr="00B7632D">
        <w:rPr>
          <w:rFonts w:ascii="Arial" w:hAnsi="Arial" w:cs="Arial"/>
        </w:rPr>
        <w:t xml:space="preserve">, povinný subjekt nepřijal k předejití nebo nápravě protiprávního stavu jiné vhodné opatření podle </w:t>
      </w:r>
      <w:r>
        <w:rPr>
          <w:rFonts w:ascii="Arial" w:hAnsi="Arial" w:cs="Arial"/>
        </w:rPr>
        <w:t xml:space="preserve">ustanovení </w:t>
      </w:r>
      <w:r w:rsidRPr="00B7632D">
        <w:rPr>
          <w:rFonts w:ascii="Arial" w:hAnsi="Arial" w:cs="Arial"/>
        </w:rPr>
        <w:t>§ 12 odst. 5</w:t>
      </w:r>
      <w:r>
        <w:rPr>
          <w:rFonts w:ascii="Arial" w:hAnsi="Arial" w:cs="Arial"/>
        </w:rPr>
        <w:t xml:space="preserve"> zákona</w:t>
      </w:r>
      <w:r w:rsidRPr="00B7632D">
        <w:rPr>
          <w:rFonts w:ascii="Arial" w:hAnsi="Arial" w:cs="Arial"/>
        </w:rPr>
        <w:t>,</w:t>
      </w:r>
    </w:p>
    <w:p w14:paraId="16A3ED5D" w14:textId="77777777" w:rsidR="00D76128" w:rsidRDefault="00D76128" w:rsidP="001D58B1">
      <w:pPr>
        <w:pStyle w:val="Odstavecseseznamem"/>
        <w:numPr>
          <w:ilvl w:val="0"/>
          <w:numId w:val="18"/>
        </w:numPr>
        <w:spacing w:after="0" w:line="240" w:lineRule="auto"/>
        <w:ind w:left="1276" w:hanging="437"/>
        <w:contextualSpacing w:val="0"/>
        <w:jc w:val="both"/>
        <w:rPr>
          <w:rFonts w:ascii="Arial" w:hAnsi="Arial" w:cs="Arial"/>
        </w:rPr>
      </w:pPr>
      <w:r w:rsidRPr="00B467CE">
        <w:rPr>
          <w:rFonts w:ascii="Arial" w:hAnsi="Arial" w:cs="Arial"/>
        </w:rPr>
        <w:t>má oprávněný důvod se domnívat, že protiprávní jednání uvedené v oznámení může vést k bezprostřednímu nebo zjevnému ohrožení vnitřního pořádku nebo bezpečnosti, života nebo zdraví, životního prostředí nebo jiného veřejného zájmu nebo ke vzniku nenapravitelné újmy, nebo</w:t>
      </w:r>
    </w:p>
    <w:p w14:paraId="29D5D4D7" w14:textId="77777777" w:rsidR="00D76128" w:rsidRDefault="00D76128" w:rsidP="001D58B1">
      <w:pPr>
        <w:pStyle w:val="Odstavecseseznamem"/>
        <w:numPr>
          <w:ilvl w:val="0"/>
          <w:numId w:val="18"/>
        </w:numPr>
        <w:spacing w:after="0" w:line="240" w:lineRule="auto"/>
        <w:ind w:left="1276" w:hanging="437"/>
        <w:contextualSpacing w:val="0"/>
        <w:jc w:val="both"/>
        <w:rPr>
          <w:rFonts w:ascii="Arial" w:hAnsi="Arial" w:cs="Arial"/>
        </w:rPr>
      </w:pPr>
      <w:r w:rsidRPr="00B467CE">
        <w:rPr>
          <w:rFonts w:ascii="Arial" w:hAnsi="Arial" w:cs="Arial"/>
        </w:rPr>
        <w:t xml:space="preserve">má oprávněný důvod se domnívat, že v případě podání oznámení </w:t>
      </w:r>
      <w:r>
        <w:rPr>
          <w:rFonts w:ascii="Arial" w:hAnsi="Arial" w:cs="Arial"/>
        </w:rPr>
        <w:t>M</w:t>
      </w:r>
      <w:r w:rsidRPr="00B467CE">
        <w:rPr>
          <w:rFonts w:ascii="Arial" w:hAnsi="Arial" w:cs="Arial"/>
        </w:rPr>
        <w:t>inisterstvu</w:t>
      </w:r>
      <w:r>
        <w:rPr>
          <w:rFonts w:ascii="Arial" w:hAnsi="Arial" w:cs="Arial"/>
        </w:rPr>
        <w:t xml:space="preserve"> spravedlnosti</w:t>
      </w:r>
      <w:r w:rsidRPr="00B467CE">
        <w:rPr>
          <w:rFonts w:ascii="Arial" w:hAnsi="Arial" w:cs="Arial"/>
        </w:rPr>
        <w:t xml:space="preserve"> existuje vzhledem k okolnostem případu zvýšené riziko, že budou on nebo osoba podle </w:t>
      </w:r>
      <w:r>
        <w:rPr>
          <w:rFonts w:ascii="Arial" w:hAnsi="Arial" w:cs="Arial"/>
        </w:rPr>
        <w:t xml:space="preserve">ustanovení </w:t>
      </w:r>
      <w:r w:rsidRPr="00B467CE">
        <w:rPr>
          <w:rFonts w:ascii="Arial" w:hAnsi="Arial" w:cs="Arial"/>
        </w:rPr>
        <w:t>§ 4 odst. 2 písm. a) až h)</w:t>
      </w:r>
      <w:r>
        <w:rPr>
          <w:rFonts w:ascii="Arial" w:hAnsi="Arial" w:cs="Arial"/>
        </w:rPr>
        <w:t xml:space="preserve"> zákona</w:t>
      </w:r>
      <w:r w:rsidRPr="00B467CE">
        <w:rPr>
          <w:rFonts w:ascii="Arial" w:hAnsi="Arial" w:cs="Arial"/>
        </w:rPr>
        <w:t xml:space="preserve"> vystaveni odvetným opatřením nebo že je ohrožen postup podle hlavy III</w:t>
      </w:r>
      <w:r>
        <w:rPr>
          <w:rFonts w:ascii="Arial" w:hAnsi="Arial" w:cs="Arial"/>
        </w:rPr>
        <w:t xml:space="preserve"> zákona</w:t>
      </w:r>
      <w:r w:rsidRPr="00B467CE">
        <w:rPr>
          <w:rFonts w:ascii="Arial" w:hAnsi="Arial" w:cs="Arial"/>
        </w:rPr>
        <w:t>.</w:t>
      </w:r>
    </w:p>
    <w:p w14:paraId="0B530919" w14:textId="77777777" w:rsidR="00D76128" w:rsidRDefault="00D76128" w:rsidP="001D58B1">
      <w:pPr>
        <w:pStyle w:val="Odstavecseseznamem"/>
        <w:numPr>
          <w:ilvl w:val="0"/>
          <w:numId w:val="6"/>
        </w:numPr>
        <w:spacing w:after="0" w:line="240" w:lineRule="auto"/>
        <w:ind w:left="426" w:hanging="437"/>
        <w:contextualSpacing w:val="0"/>
        <w:jc w:val="both"/>
        <w:rPr>
          <w:rFonts w:ascii="Arial" w:hAnsi="Arial" w:cs="Arial"/>
        </w:rPr>
      </w:pPr>
      <w:r w:rsidRPr="00B467CE">
        <w:rPr>
          <w:rFonts w:ascii="Arial" w:hAnsi="Arial" w:cs="Arial"/>
        </w:rPr>
        <w:t>Ochrana před odvetným opatřením podle tohoto zákona náleží rovněž osobě, která oznámení podala orgánu veřejné moci příslušnému podle jiného právního předpisu nebo přímo použitelného předpisu Evropské unie.</w:t>
      </w:r>
    </w:p>
    <w:p w14:paraId="0B90BCC5" w14:textId="77777777" w:rsidR="00D76128" w:rsidRPr="0018207D" w:rsidRDefault="00D76128" w:rsidP="001D58B1">
      <w:pPr>
        <w:pStyle w:val="Odstavecseseznamem"/>
        <w:numPr>
          <w:ilvl w:val="0"/>
          <w:numId w:val="6"/>
        </w:numPr>
        <w:spacing w:after="0" w:line="240" w:lineRule="auto"/>
        <w:ind w:left="426" w:hanging="437"/>
        <w:contextualSpacing w:val="0"/>
        <w:jc w:val="both"/>
        <w:rPr>
          <w:rFonts w:ascii="Arial" w:hAnsi="Arial" w:cs="Arial"/>
        </w:rPr>
      </w:pPr>
      <w:r w:rsidRPr="00B467CE">
        <w:rPr>
          <w:rFonts w:ascii="Arial" w:hAnsi="Arial" w:cs="Arial"/>
        </w:rPr>
        <w:lastRenderedPageBreak/>
        <w:t>Ochrana před odvetným opatřením nenáleží osobě, která učinila oznámení, aniž měla oprávněné důvody se domnívat, že se zakládá na pravdivých informacích</w:t>
      </w:r>
      <w:r>
        <w:rPr>
          <w:rFonts w:ascii="Arial" w:hAnsi="Arial" w:cs="Arial"/>
        </w:rPr>
        <w:t>.</w:t>
      </w:r>
      <w:r w:rsidRPr="00B467CE">
        <w:rPr>
          <w:rFonts w:ascii="Arial" w:hAnsi="Arial" w:cs="Arial"/>
        </w:rPr>
        <w:t xml:space="preserve"> </w:t>
      </w:r>
    </w:p>
    <w:p w14:paraId="4AA681A2" w14:textId="1F84ADA8" w:rsidR="00D76128" w:rsidRPr="0018207D" w:rsidRDefault="00D76128" w:rsidP="001D58B1">
      <w:pPr>
        <w:pStyle w:val="Odstavecseseznamem"/>
        <w:numPr>
          <w:ilvl w:val="0"/>
          <w:numId w:val="6"/>
        </w:numPr>
        <w:spacing w:after="0" w:line="240" w:lineRule="auto"/>
        <w:ind w:left="426" w:hanging="437"/>
        <w:contextualSpacing w:val="0"/>
        <w:jc w:val="both"/>
        <w:rPr>
          <w:rFonts w:ascii="Arial" w:hAnsi="Arial" w:cs="Arial"/>
        </w:rPr>
      </w:pPr>
      <w:r w:rsidRPr="00B467CE">
        <w:rPr>
          <w:rFonts w:ascii="Arial" w:hAnsi="Arial" w:cs="Arial"/>
        </w:rPr>
        <w:t>Fyzická osoba se dopustí přestupku tím, že podá vědomě nepravdivé oznámení.</w:t>
      </w:r>
      <w:r>
        <w:rPr>
          <w:rFonts w:ascii="Arial" w:hAnsi="Arial" w:cs="Arial"/>
        </w:rPr>
        <w:t xml:space="preserve"> Za</w:t>
      </w:r>
      <w:r w:rsidR="00E80A66">
        <w:rPr>
          <w:rFonts w:ascii="Arial" w:hAnsi="Arial" w:cs="Arial"/>
        </w:rPr>
        <w:t> </w:t>
      </w:r>
      <w:r>
        <w:rPr>
          <w:rFonts w:ascii="Arial" w:hAnsi="Arial" w:cs="Arial"/>
        </w:rPr>
        <w:t>tento přestupek může být uložena pokuta až 50000 Kč.</w:t>
      </w:r>
    </w:p>
    <w:p w14:paraId="70C7FE8D" w14:textId="77777777" w:rsidR="00D76128" w:rsidRPr="00F45A1C" w:rsidRDefault="00D76128" w:rsidP="001D58B1">
      <w:pPr>
        <w:pStyle w:val="Odstavecseseznamem"/>
        <w:numPr>
          <w:ilvl w:val="0"/>
          <w:numId w:val="6"/>
        </w:numPr>
        <w:spacing w:after="0" w:line="240" w:lineRule="auto"/>
        <w:ind w:left="426" w:hanging="43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Oznamovatel ani osoba podle ustanovení § 4 odst. 2 písm. a) až h) zákona </w:t>
      </w:r>
      <w:r w:rsidRPr="00F45A1C">
        <w:rPr>
          <w:rFonts w:ascii="Arial" w:hAnsi="Arial" w:cs="Arial"/>
        </w:rPr>
        <w:t>nesmí být vystaveni odvetnému opatření.</w:t>
      </w:r>
    </w:p>
    <w:p w14:paraId="437D4F86" w14:textId="77777777" w:rsidR="00D76128" w:rsidRPr="00F45A1C" w:rsidRDefault="00D76128" w:rsidP="001D58B1">
      <w:pPr>
        <w:pStyle w:val="Odstavecseseznamem"/>
        <w:numPr>
          <w:ilvl w:val="0"/>
          <w:numId w:val="6"/>
        </w:numPr>
        <w:spacing w:after="0" w:line="240" w:lineRule="auto"/>
        <w:ind w:left="426" w:hanging="437"/>
        <w:contextualSpacing w:val="0"/>
        <w:jc w:val="both"/>
        <w:rPr>
          <w:rFonts w:ascii="Arial" w:hAnsi="Arial" w:cs="Arial"/>
        </w:rPr>
      </w:pPr>
      <w:r w:rsidRPr="00F45A1C">
        <w:rPr>
          <w:rFonts w:ascii="Arial" w:hAnsi="Arial" w:cs="Arial"/>
        </w:rPr>
        <w:t xml:space="preserve">Ke vzdání se práva na ochranu před odvetným opatřením se dle zákona nepřihlíží.    </w:t>
      </w:r>
    </w:p>
    <w:p w14:paraId="39609B86" w14:textId="77777777" w:rsidR="00D76128" w:rsidRDefault="00D76128" w:rsidP="001D58B1">
      <w:pPr>
        <w:pStyle w:val="Odstavecseseznamem"/>
        <w:numPr>
          <w:ilvl w:val="0"/>
          <w:numId w:val="6"/>
        </w:numPr>
        <w:spacing w:after="0" w:line="240" w:lineRule="auto"/>
        <w:ind w:left="426" w:hanging="437"/>
        <w:contextualSpacing w:val="0"/>
        <w:jc w:val="both"/>
        <w:rPr>
          <w:rFonts w:ascii="Arial" w:hAnsi="Arial" w:cs="Arial"/>
        </w:rPr>
      </w:pPr>
      <w:r w:rsidRPr="00006D31">
        <w:rPr>
          <w:rFonts w:ascii="Arial" w:hAnsi="Arial" w:cs="Arial"/>
        </w:rPr>
        <w:t>Informace o totožnosti oznamovatele a osoby podle</w:t>
      </w:r>
      <w:r>
        <w:rPr>
          <w:rFonts w:ascii="Arial" w:hAnsi="Arial" w:cs="Arial"/>
        </w:rPr>
        <w:t xml:space="preserve"> ustanovení</w:t>
      </w:r>
      <w:r w:rsidRPr="00006D31">
        <w:rPr>
          <w:rFonts w:ascii="Arial" w:hAnsi="Arial" w:cs="Arial"/>
        </w:rPr>
        <w:t xml:space="preserve"> § 4 odst. 2 písm. a) až h) </w:t>
      </w:r>
      <w:r>
        <w:rPr>
          <w:rFonts w:ascii="Arial" w:hAnsi="Arial" w:cs="Arial"/>
        </w:rPr>
        <w:t xml:space="preserve">zákona </w:t>
      </w:r>
      <w:r w:rsidRPr="00006D31">
        <w:rPr>
          <w:rFonts w:ascii="Arial" w:hAnsi="Arial" w:cs="Arial"/>
        </w:rPr>
        <w:t>je možné poskytnout jen s jejich písemným souhlasem, ledaže j</w:t>
      </w:r>
      <w:r>
        <w:rPr>
          <w:rFonts w:ascii="Arial" w:hAnsi="Arial" w:cs="Arial"/>
        </w:rPr>
        <w:t>e</w:t>
      </w:r>
      <w:r w:rsidRPr="00006D31">
        <w:rPr>
          <w:rFonts w:ascii="Arial" w:hAnsi="Arial" w:cs="Arial"/>
        </w:rPr>
        <w:t xml:space="preserve"> příslušná osoba povinn</w:t>
      </w:r>
      <w:r>
        <w:rPr>
          <w:rFonts w:ascii="Arial" w:hAnsi="Arial" w:cs="Arial"/>
        </w:rPr>
        <w:t>a</w:t>
      </w:r>
      <w:r w:rsidRPr="00006D31">
        <w:rPr>
          <w:rFonts w:ascii="Arial" w:hAnsi="Arial" w:cs="Arial"/>
        </w:rPr>
        <w:t xml:space="preserve"> tyto informace poskytnout příslušným orgánům veřejné moci podle jiných právních předpisů</w:t>
      </w:r>
      <w:r>
        <w:rPr>
          <w:rFonts w:ascii="Arial" w:hAnsi="Arial" w:cs="Arial"/>
        </w:rPr>
        <w:t>.</w:t>
      </w:r>
    </w:p>
    <w:p w14:paraId="13599CC4" w14:textId="07641719" w:rsidR="001C1B77" w:rsidRDefault="00D76128" w:rsidP="001D58B1">
      <w:pPr>
        <w:pStyle w:val="Odstavecseseznamem"/>
        <w:numPr>
          <w:ilvl w:val="0"/>
          <w:numId w:val="6"/>
        </w:numPr>
        <w:spacing w:after="0" w:line="240" w:lineRule="auto"/>
        <w:ind w:left="426" w:hanging="437"/>
        <w:contextualSpacing w:val="0"/>
        <w:jc w:val="both"/>
        <w:rPr>
          <w:rFonts w:ascii="Arial" w:hAnsi="Arial" w:cs="Arial"/>
        </w:rPr>
      </w:pPr>
      <w:r w:rsidRPr="00006D31">
        <w:rPr>
          <w:rFonts w:ascii="Arial" w:hAnsi="Arial" w:cs="Arial"/>
        </w:rPr>
        <w:t>Poskytuj</w:t>
      </w:r>
      <w:r>
        <w:rPr>
          <w:rFonts w:ascii="Arial" w:hAnsi="Arial" w:cs="Arial"/>
        </w:rPr>
        <w:t>e</w:t>
      </w:r>
      <w:r w:rsidRPr="00006D31">
        <w:rPr>
          <w:rFonts w:ascii="Arial" w:hAnsi="Arial" w:cs="Arial"/>
        </w:rPr>
        <w:t xml:space="preserve">-li příslušná osoba informaci o totožnosti oznamovatele orgánu veřejné moci podle odstavce </w:t>
      </w:r>
      <w:r>
        <w:rPr>
          <w:rFonts w:ascii="Arial" w:hAnsi="Arial" w:cs="Arial"/>
        </w:rPr>
        <w:t>7</w:t>
      </w:r>
      <w:r w:rsidRPr="00006D31">
        <w:rPr>
          <w:rFonts w:ascii="Arial" w:hAnsi="Arial" w:cs="Arial"/>
        </w:rPr>
        <w:t>, j</w:t>
      </w:r>
      <w:r>
        <w:rPr>
          <w:rFonts w:ascii="Arial" w:hAnsi="Arial" w:cs="Arial"/>
        </w:rPr>
        <w:t>e</w:t>
      </w:r>
      <w:r w:rsidRPr="00006D31">
        <w:rPr>
          <w:rFonts w:ascii="Arial" w:hAnsi="Arial" w:cs="Arial"/>
        </w:rPr>
        <w:t xml:space="preserve"> povinn</w:t>
      </w:r>
      <w:r>
        <w:rPr>
          <w:rFonts w:ascii="Arial" w:hAnsi="Arial" w:cs="Arial"/>
        </w:rPr>
        <w:t>a</w:t>
      </w:r>
      <w:r w:rsidRPr="00006D31">
        <w:rPr>
          <w:rFonts w:ascii="Arial" w:hAnsi="Arial" w:cs="Arial"/>
        </w:rPr>
        <w:t xml:space="preserve"> o tom předem oznamovatele vyrozumět společně s důvody, pro které j</w:t>
      </w:r>
      <w:r>
        <w:rPr>
          <w:rFonts w:ascii="Arial" w:hAnsi="Arial" w:cs="Arial"/>
        </w:rPr>
        <w:t>e</w:t>
      </w:r>
      <w:r w:rsidRPr="00006D31">
        <w:rPr>
          <w:rFonts w:ascii="Arial" w:hAnsi="Arial" w:cs="Arial"/>
        </w:rPr>
        <w:t xml:space="preserve"> povinn</w:t>
      </w:r>
      <w:r>
        <w:rPr>
          <w:rFonts w:ascii="Arial" w:hAnsi="Arial" w:cs="Arial"/>
        </w:rPr>
        <w:t>a</w:t>
      </w:r>
      <w:r w:rsidRPr="00006D31">
        <w:rPr>
          <w:rFonts w:ascii="Arial" w:hAnsi="Arial" w:cs="Arial"/>
        </w:rPr>
        <w:t xml:space="preserve"> informaci o totožnosti poskytnout, a umožnit oznamovateli, aby se k poskytnutí informace vyjádřil.</w:t>
      </w:r>
    </w:p>
    <w:p w14:paraId="6012BECC" w14:textId="77777777" w:rsidR="001D58B1" w:rsidRDefault="001D58B1" w:rsidP="001D58B1">
      <w:pPr>
        <w:spacing w:after="0" w:line="240" w:lineRule="auto"/>
        <w:ind w:left="-11"/>
        <w:jc w:val="both"/>
        <w:rPr>
          <w:rFonts w:ascii="Arial" w:hAnsi="Arial" w:cs="Arial"/>
        </w:rPr>
      </w:pPr>
    </w:p>
    <w:p w14:paraId="2307227C" w14:textId="2D5CE6E6" w:rsidR="00D83C10" w:rsidRPr="00D83C10" w:rsidRDefault="00F12BE2" w:rsidP="001D58B1">
      <w:pPr>
        <w:spacing w:after="0" w:line="240" w:lineRule="auto"/>
        <w:ind w:left="-11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83C10">
        <w:rPr>
          <w:rFonts w:ascii="Arial" w:hAnsi="Arial" w:cs="Arial"/>
        </w:rPr>
        <w:t xml:space="preserve">nformace k problematice whistleblowingu zveřejňuje Ministerstvo spravedlnosti na svých webových stránkách </w:t>
      </w:r>
      <w:hyperlink r:id="rId9" w:history="1">
        <w:r w:rsidR="00D83C10" w:rsidRPr="00E13F5C">
          <w:rPr>
            <w:rStyle w:val="Hypertextovodkaz"/>
            <w:rFonts w:ascii="Arial" w:hAnsi="Arial" w:cs="Arial"/>
          </w:rPr>
          <w:t>https://oznamovatel.justice.cz/</w:t>
        </w:r>
      </w:hyperlink>
      <w:r w:rsidR="00D83C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hyperlink r:id="rId10" w:history="1">
        <w:r w:rsidRPr="00E13F5C">
          <w:rPr>
            <w:rStyle w:val="Hypertextovodkaz"/>
            <w:rFonts w:ascii="Arial" w:hAnsi="Arial" w:cs="Arial"/>
          </w:rPr>
          <w:t>https://whistleblower.justice.cz/</w:t>
        </w:r>
      </w:hyperlink>
      <w:r>
        <w:rPr>
          <w:rFonts w:ascii="Arial" w:hAnsi="Arial" w:cs="Arial"/>
        </w:rPr>
        <w:t xml:space="preserve">. </w:t>
      </w:r>
    </w:p>
    <w:sectPr w:rsidR="00D83C10" w:rsidRPr="00D83C10" w:rsidSect="000232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9CC7" w14:textId="77777777" w:rsidR="00A31635" w:rsidRDefault="00A31635" w:rsidP="00E24867">
      <w:pPr>
        <w:spacing w:after="0" w:line="240" w:lineRule="auto"/>
      </w:pPr>
      <w:r>
        <w:separator/>
      </w:r>
    </w:p>
  </w:endnote>
  <w:endnote w:type="continuationSeparator" w:id="0">
    <w:p w14:paraId="13599CC8" w14:textId="77777777" w:rsidR="00A31635" w:rsidRDefault="00A31635" w:rsidP="00E2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775648"/>
      <w:docPartObj>
        <w:docPartGallery w:val="Page Numbers (Bottom of Page)"/>
        <w:docPartUnique/>
      </w:docPartObj>
    </w:sdtPr>
    <w:sdtEndPr/>
    <w:sdtContent>
      <w:p w14:paraId="13599CCB" w14:textId="77777777" w:rsidR="00E24867" w:rsidRDefault="0002328D">
        <w:pPr>
          <w:pStyle w:val="Zpat"/>
          <w:jc w:val="center"/>
        </w:pPr>
        <w:r>
          <w:fldChar w:fldCharType="begin"/>
        </w:r>
        <w:r w:rsidR="00E24867">
          <w:instrText>PAGE   \* MERGEFORMAT</w:instrText>
        </w:r>
        <w:r>
          <w:fldChar w:fldCharType="separate"/>
        </w:r>
        <w:r w:rsidR="00837C95">
          <w:rPr>
            <w:noProof/>
          </w:rPr>
          <w:t>2</w:t>
        </w:r>
        <w:r>
          <w:fldChar w:fldCharType="end"/>
        </w:r>
      </w:p>
    </w:sdtContent>
  </w:sdt>
  <w:p w14:paraId="13599CCC" w14:textId="77777777" w:rsidR="00E24867" w:rsidRDefault="00E24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9CC5" w14:textId="77777777" w:rsidR="00A31635" w:rsidRDefault="00A31635" w:rsidP="00E24867">
      <w:pPr>
        <w:spacing w:after="0" w:line="240" w:lineRule="auto"/>
      </w:pPr>
      <w:r>
        <w:separator/>
      </w:r>
    </w:p>
  </w:footnote>
  <w:footnote w:type="continuationSeparator" w:id="0">
    <w:p w14:paraId="13599CC6" w14:textId="77777777" w:rsidR="00A31635" w:rsidRDefault="00A31635" w:rsidP="00E24867">
      <w:pPr>
        <w:spacing w:after="0" w:line="240" w:lineRule="auto"/>
      </w:pPr>
      <w:r>
        <w:continuationSeparator/>
      </w:r>
    </w:p>
  </w:footnote>
  <w:footnote w:id="1">
    <w:p w14:paraId="5FDF600B" w14:textId="77777777" w:rsidR="00F015ED" w:rsidRPr="00DA69F5" w:rsidRDefault="00F015ED" w:rsidP="00F015ED">
      <w:pPr>
        <w:pStyle w:val="Textpoznpodarou"/>
        <w:rPr>
          <w:rFonts w:ascii="Times New Roman" w:hAnsi="Times New Roman"/>
        </w:rPr>
      </w:pPr>
      <w:r w:rsidRPr="00DA69F5">
        <w:rPr>
          <w:rStyle w:val="Znakapoznpodarou"/>
          <w:rFonts w:ascii="Times New Roman" w:hAnsi="Times New Roman"/>
        </w:rPr>
        <w:footnoteRef/>
      </w:r>
      <w:r w:rsidRPr="00DA69F5">
        <w:rPr>
          <w:rFonts w:ascii="Times New Roman" w:hAnsi="Times New Roman"/>
          <w:vertAlign w:val="superscript"/>
        </w:rPr>
        <w:t>)</w:t>
      </w:r>
      <w:r w:rsidRPr="00DA69F5">
        <w:rPr>
          <w:rFonts w:ascii="Times New Roman" w:hAnsi="Times New Roman"/>
        </w:rPr>
        <w:t xml:space="preserve"> </w:t>
      </w:r>
      <w:r w:rsidRPr="003141B5">
        <w:rPr>
          <w:rFonts w:ascii="Arial" w:hAnsi="Arial" w:cs="Arial"/>
        </w:rPr>
        <w:t>Článek 325 Smlouvy o fungování Evropské unie.</w:t>
      </w:r>
    </w:p>
  </w:footnote>
  <w:footnote w:id="2">
    <w:p w14:paraId="177468AE" w14:textId="77777777" w:rsidR="00F015ED" w:rsidRPr="006D4C45" w:rsidRDefault="00F015ED" w:rsidP="00F015ED">
      <w:pPr>
        <w:pStyle w:val="Textpoznpodarou"/>
        <w:rPr>
          <w:rFonts w:ascii="Arial" w:hAnsi="Arial" w:cs="Arial"/>
        </w:rPr>
      </w:pPr>
      <w:r w:rsidRPr="006D4C45">
        <w:rPr>
          <w:rStyle w:val="Znakapoznpodarou"/>
          <w:rFonts w:ascii="Arial" w:hAnsi="Arial" w:cs="Arial"/>
        </w:rPr>
        <w:footnoteRef/>
      </w:r>
      <w:r w:rsidRPr="006D4C45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 xml:space="preserve"> </w:t>
      </w:r>
      <w:r w:rsidRPr="006D4C45">
        <w:rPr>
          <w:rFonts w:ascii="Arial" w:hAnsi="Arial" w:cs="Arial"/>
        </w:rPr>
        <w:t>Článek 26 odst. 1 a 2 Smlouvy o fungování Evropské unie.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9CC9" w14:textId="1A921FEE" w:rsidR="00980D51" w:rsidRPr="00A81AE8" w:rsidRDefault="00980D51">
    <w:pPr>
      <w:pStyle w:val="Zhlav"/>
      <w:rPr>
        <w:rFonts w:ascii="Arial" w:hAnsi="Arial" w:cs="Arial"/>
      </w:rPr>
    </w:pPr>
    <w:r w:rsidRPr="00A81AE8">
      <w:rPr>
        <w:rFonts w:ascii="Arial" w:hAnsi="Arial" w:cs="Arial"/>
      </w:rPr>
      <w:t xml:space="preserve">Příloha č. 1 Směrnice </w:t>
    </w:r>
    <w:r w:rsidR="00A81AE8" w:rsidRPr="00A81AE8">
      <w:rPr>
        <w:rFonts w:ascii="Arial" w:hAnsi="Arial" w:cs="Arial"/>
      </w:rPr>
      <w:t>o</w:t>
    </w:r>
    <w:r w:rsidRPr="00A81AE8">
      <w:rPr>
        <w:rFonts w:ascii="Arial" w:hAnsi="Arial" w:cs="Arial"/>
      </w:rPr>
      <w:t xml:space="preserve"> ochraně </w:t>
    </w:r>
    <w:r w:rsidR="00A81AE8" w:rsidRPr="00A81AE8">
      <w:rPr>
        <w:rFonts w:ascii="Arial" w:hAnsi="Arial" w:cs="Arial"/>
      </w:rPr>
      <w:t>oznamovatelů</w:t>
    </w:r>
  </w:p>
  <w:p w14:paraId="13599CCA" w14:textId="77777777" w:rsidR="00980D51" w:rsidRDefault="00980D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083"/>
    <w:multiLevelType w:val="hybridMultilevel"/>
    <w:tmpl w:val="A6FED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7C3E"/>
    <w:multiLevelType w:val="hybridMultilevel"/>
    <w:tmpl w:val="C0EA58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906CD"/>
    <w:multiLevelType w:val="hybridMultilevel"/>
    <w:tmpl w:val="130CF22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5A238E1"/>
    <w:multiLevelType w:val="hybridMultilevel"/>
    <w:tmpl w:val="447CACEC"/>
    <w:lvl w:ilvl="0" w:tplc="B4FA93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616AF4"/>
    <w:multiLevelType w:val="hybridMultilevel"/>
    <w:tmpl w:val="9CD88F2E"/>
    <w:lvl w:ilvl="0" w:tplc="F33E4D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D83B79"/>
    <w:multiLevelType w:val="hybridMultilevel"/>
    <w:tmpl w:val="C380B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85670"/>
    <w:multiLevelType w:val="hybridMultilevel"/>
    <w:tmpl w:val="08E45574"/>
    <w:lvl w:ilvl="0" w:tplc="F33031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3909BF"/>
    <w:multiLevelType w:val="hybridMultilevel"/>
    <w:tmpl w:val="D33A14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7F40C83"/>
    <w:multiLevelType w:val="hybridMultilevel"/>
    <w:tmpl w:val="D93A3C28"/>
    <w:lvl w:ilvl="0" w:tplc="E5D6E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12B7B"/>
    <w:multiLevelType w:val="hybridMultilevel"/>
    <w:tmpl w:val="A04AB5A2"/>
    <w:lvl w:ilvl="0" w:tplc="EA820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C16BA4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DA3287"/>
    <w:multiLevelType w:val="hybridMultilevel"/>
    <w:tmpl w:val="9E32701A"/>
    <w:lvl w:ilvl="0" w:tplc="24AC3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90398A"/>
    <w:multiLevelType w:val="hybridMultilevel"/>
    <w:tmpl w:val="73C48366"/>
    <w:lvl w:ilvl="0" w:tplc="DEAAC3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C32E0F"/>
    <w:multiLevelType w:val="hybridMultilevel"/>
    <w:tmpl w:val="45121296"/>
    <w:lvl w:ilvl="0" w:tplc="B4FA93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BE768E0"/>
    <w:multiLevelType w:val="hybridMultilevel"/>
    <w:tmpl w:val="9ECC8DB0"/>
    <w:lvl w:ilvl="0" w:tplc="82EE58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C9506D2"/>
    <w:multiLevelType w:val="hybridMultilevel"/>
    <w:tmpl w:val="B574A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A326E"/>
    <w:multiLevelType w:val="hybridMultilevel"/>
    <w:tmpl w:val="303A7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84577"/>
    <w:multiLevelType w:val="hybridMultilevel"/>
    <w:tmpl w:val="7B1C7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27518"/>
    <w:multiLevelType w:val="hybridMultilevel"/>
    <w:tmpl w:val="B4442B00"/>
    <w:lvl w:ilvl="0" w:tplc="FEE06CD0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8961710"/>
    <w:multiLevelType w:val="hybridMultilevel"/>
    <w:tmpl w:val="29167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8"/>
  </w:num>
  <w:num w:numId="5">
    <w:abstractNumId w:val="15"/>
  </w:num>
  <w:num w:numId="6">
    <w:abstractNumId w:val="17"/>
  </w:num>
  <w:num w:numId="7">
    <w:abstractNumId w:val="14"/>
  </w:num>
  <w:num w:numId="8">
    <w:abstractNumId w:val="4"/>
  </w:num>
  <w:num w:numId="9">
    <w:abstractNumId w:val="0"/>
  </w:num>
  <w:num w:numId="10">
    <w:abstractNumId w:val="11"/>
  </w:num>
  <w:num w:numId="11">
    <w:abstractNumId w:val="19"/>
  </w:num>
  <w:num w:numId="12">
    <w:abstractNumId w:val="5"/>
  </w:num>
  <w:num w:numId="13">
    <w:abstractNumId w:val="1"/>
  </w:num>
  <w:num w:numId="14">
    <w:abstractNumId w:val="3"/>
  </w:num>
  <w:num w:numId="15">
    <w:abstractNumId w:val="9"/>
  </w:num>
  <w:num w:numId="16">
    <w:abstractNumId w:val="13"/>
  </w:num>
  <w:num w:numId="17">
    <w:abstractNumId w:val="7"/>
  </w:num>
  <w:num w:numId="18">
    <w:abstractNumId w:val="2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B77"/>
    <w:rsid w:val="0000653C"/>
    <w:rsid w:val="0002328D"/>
    <w:rsid w:val="000E0122"/>
    <w:rsid w:val="0013380E"/>
    <w:rsid w:val="00146A9A"/>
    <w:rsid w:val="00152493"/>
    <w:rsid w:val="0016018E"/>
    <w:rsid w:val="001C1B77"/>
    <w:rsid w:val="001D58B1"/>
    <w:rsid w:val="00202AFD"/>
    <w:rsid w:val="00235F71"/>
    <w:rsid w:val="00285518"/>
    <w:rsid w:val="002B799B"/>
    <w:rsid w:val="002D6100"/>
    <w:rsid w:val="00307676"/>
    <w:rsid w:val="003C584E"/>
    <w:rsid w:val="00471F2D"/>
    <w:rsid w:val="00474D97"/>
    <w:rsid w:val="00495FBC"/>
    <w:rsid w:val="00510FFD"/>
    <w:rsid w:val="0054432D"/>
    <w:rsid w:val="005701A3"/>
    <w:rsid w:val="00576317"/>
    <w:rsid w:val="00634041"/>
    <w:rsid w:val="007D55E4"/>
    <w:rsid w:val="00837C95"/>
    <w:rsid w:val="008E10AB"/>
    <w:rsid w:val="00904476"/>
    <w:rsid w:val="00980D51"/>
    <w:rsid w:val="009B510B"/>
    <w:rsid w:val="009D600F"/>
    <w:rsid w:val="00A15D63"/>
    <w:rsid w:val="00A2575C"/>
    <w:rsid w:val="00A31635"/>
    <w:rsid w:val="00A75F5E"/>
    <w:rsid w:val="00A81AE8"/>
    <w:rsid w:val="00AB209A"/>
    <w:rsid w:val="00AF3AF8"/>
    <w:rsid w:val="00AF5779"/>
    <w:rsid w:val="00B80D9A"/>
    <w:rsid w:val="00B96DAF"/>
    <w:rsid w:val="00BA044C"/>
    <w:rsid w:val="00C52927"/>
    <w:rsid w:val="00C84338"/>
    <w:rsid w:val="00CB04C8"/>
    <w:rsid w:val="00D76128"/>
    <w:rsid w:val="00D83C10"/>
    <w:rsid w:val="00E24867"/>
    <w:rsid w:val="00E80A66"/>
    <w:rsid w:val="00E8758F"/>
    <w:rsid w:val="00EE346E"/>
    <w:rsid w:val="00F015ED"/>
    <w:rsid w:val="00F12BE2"/>
    <w:rsid w:val="00F87F6B"/>
    <w:rsid w:val="00F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9C90"/>
  <w15:docId w15:val="{0A239FF1-7C2D-4D79-B1F7-B34D5A2E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2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5D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346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346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4867"/>
  </w:style>
  <w:style w:type="paragraph" w:styleId="Zpat">
    <w:name w:val="footer"/>
    <w:basedOn w:val="Normln"/>
    <w:link w:val="ZpatChar"/>
    <w:uiPriority w:val="99"/>
    <w:unhideWhenUsed/>
    <w:rsid w:val="00E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867"/>
  </w:style>
  <w:style w:type="character" w:styleId="Nevyeenzmnka">
    <w:name w:val="Unresolved Mention"/>
    <w:basedOn w:val="Standardnpsmoodstavce"/>
    <w:uiPriority w:val="99"/>
    <w:semiHidden/>
    <w:unhideWhenUsed/>
    <w:rsid w:val="00F015ED"/>
    <w:rPr>
      <w:color w:val="605E5C"/>
      <w:shd w:val="clear" w:color="auto" w:fill="E1DFDD"/>
    </w:r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nhideWhenUsed/>
    <w:rsid w:val="00F015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rsid w:val="00F015ED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F01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ukalova@kr-kralovehradeck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kucera@kr-kralovehradeck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histleblower.justic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namovatel.justice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1573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Bradnová Alexandra Mgr.</dc:creator>
  <cp:keywords/>
  <dc:description/>
  <cp:lastModifiedBy>Macháčková Jana Bc.</cp:lastModifiedBy>
  <cp:revision>18</cp:revision>
  <cp:lastPrinted>2021-11-30T08:19:00Z</cp:lastPrinted>
  <dcterms:created xsi:type="dcterms:W3CDTF">2021-12-02T09:49:00Z</dcterms:created>
  <dcterms:modified xsi:type="dcterms:W3CDTF">2023-07-19T13:46:00Z</dcterms:modified>
</cp:coreProperties>
</file>